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emf" ContentType="image/x-em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spacing w:lineRule="auto" w:line="240" w:before="67" w:after="0"/>
        <w:ind w:left="6631" w:right="8" w:firstLine="57"/>
        <w:jc w:val="right"/>
        <w:rPr>
          <w:spacing w:val="-2"/>
        </w:rPr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2610485</wp:posOffset>
            </wp:positionH>
            <wp:positionV relativeFrom="paragraph">
              <wp:posOffset>54610</wp:posOffset>
            </wp:positionV>
            <wp:extent cx="533400" cy="8953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22"/>
        <w:spacing w:lineRule="auto" w:line="240" w:before="67" w:after="0"/>
        <w:ind w:left="6631" w:right="8" w:firstLine="57"/>
        <w:jc w:val="right"/>
        <w:rPr>
          <w:spacing w:val="-2"/>
        </w:rPr>
      </w:pPr>
      <w:r>
        <w:rPr/>
      </w:r>
    </w:p>
    <w:p>
      <w:pPr>
        <w:pStyle w:val="Style22"/>
        <w:spacing w:lineRule="auto" w:line="240" w:before="67" w:after="0"/>
        <w:ind w:left="6631" w:right="8" w:firstLine="57"/>
        <w:jc w:val="right"/>
        <w:rPr>
          <w:spacing w:val="-2"/>
        </w:rPr>
      </w:pPr>
      <w:r>
        <w:rPr/>
      </w:r>
    </w:p>
    <w:p>
      <w:pPr>
        <w:pStyle w:val="Style22"/>
        <w:spacing w:lineRule="auto" w:line="240" w:before="67" w:after="0"/>
        <w:ind w:left="6631" w:right="8" w:firstLine="57"/>
        <w:jc w:val="right"/>
        <w:rPr>
          <w:spacing w:val="-2"/>
        </w:rPr>
      </w:pPr>
      <w:r>
        <w:rPr/>
      </w:r>
    </w:p>
    <w:p>
      <w:pPr>
        <w:pStyle w:val="Style22"/>
        <w:spacing w:lineRule="auto" w:line="240" w:before="67" w:after="0"/>
        <w:ind w:left="6631" w:right="8" w:firstLine="57"/>
        <w:jc w:val="right"/>
        <w:rPr>
          <w:spacing w:val="-2"/>
        </w:rPr>
      </w:pPr>
      <w:r>
        <w:rPr/>
      </w:r>
    </w:p>
    <w:p>
      <w:pPr>
        <w:pStyle w:val="Normal"/>
        <w:jc w:val="center"/>
        <w:rPr/>
      </w:pPr>
      <w:r>
        <w:rPr>
          <w:b/>
          <w:sz w:val="32"/>
        </w:rPr>
        <w:t>Администрация города Кирсанова</w:t>
      </w:r>
    </w:p>
    <w:p>
      <w:pPr>
        <w:pStyle w:val="1"/>
        <w:numPr>
          <w:ilvl w:val="0"/>
          <w:numId w:val="3"/>
        </w:numPr>
        <w:ind w:left="432" w:right="0" w:hanging="432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</w:t>
      </w:r>
      <w:r>
        <w:rPr>
          <w:rFonts w:ascii="Liberation Serif" w:hAnsi="Liberation Serif"/>
        </w:rPr>
        <w:t>Тамбовской области</w:t>
      </w:r>
    </w:p>
    <w:p>
      <w:pPr>
        <w:pStyle w:val="Normal"/>
        <w:jc w:val="center"/>
        <w:rPr>
          <w:b/>
          <w:sz w:val="32"/>
        </w:rPr>
      </w:pPr>
      <w:r>
        <w:rPr>
          <w:b/>
          <w:sz w:val="32"/>
        </w:rPr>
      </w:r>
    </w:p>
    <w:p>
      <w:pPr>
        <w:pStyle w:val="2"/>
        <w:numPr>
          <w:ilvl w:val="1"/>
          <w:numId w:val="3"/>
        </w:numPr>
        <w:ind w:left="576" w:right="0" w:hanging="576"/>
        <w:jc w:val="center"/>
        <w:rPr>
          <w:sz w:val="48"/>
          <w:szCs w:val="48"/>
        </w:rPr>
      </w:pPr>
      <w:r>
        <w:rPr>
          <w:rFonts w:ascii="Liberation Serif" w:hAnsi="Liberation Serif"/>
          <w:sz w:val="48"/>
          <w:szCs w:val="48"/>
        </w:rPr>
        <w:t>РАСПОРЯЖЕНИЕ</w:t>
      </w:r>
    </w:p>
    <w:p>
      <w:pPr>
        <w:pStyle w:val="Normal"/>
        <w:jc w:val="center"/>
        <w:rPr>
          <w:b/>
          <w:sz w:val="48"/>
        </w:rPr>
      </w:pPr>
      <w:r>
        <w:rPr>
          <w:b/>
          <w:sz w:val="4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« 10 »    февраля  2026 г.                   г. Кирсанов                                    № 2</w:t>
      </w:r>
      <w:r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-р</w:t>
      </w:r>
    </w:p>
    <w:p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"/>
        <w:spacing w:before="0" w:after="0"/>
        <w:jc w:val="both"/>
        <w:rPr>
          <w:rFonts w:ascii="Liberation Serif" w:hAnsi="Liberation Serif"/>
        </w:rPr>
      </w:pPr>
      <w:r>
        <w:rPr>
          <w:rFonts w:cs="Times New Roman"/>
          <w:b w:val="false"/>
          <w:bCs w:val="false"/>
          <w:shd w:fill="FFFFFF" w:val="clear"/>
        </w:rPr>
        <w:t xml:space="preserve">О </w:t>
      </w:r>
      <w:r>
        <w:rPr>
          <w:rFonts w:cs="Times New Roman"/>
          <w:b w:val="false"/>
          <w:bCs w:val="false"/>
          <w:color w:val="000000"/>
          <w:sz w:val="28"/>
          <w:szCs w:val="28"/>
          <w:shd w:fill="FFFFFF" w:val="clear"/>
        </w:rPr>
        <w:t xml:space="preserve"> результатах обобщения правоприменительной практики  при осуществлении муниципального</w:t>
      </w:r>
      <w:r>
        <w:rPr>
          <w:rFonts w:cs="Times New Roman"/>
          <w:b w:val="false"/>
          <w:bCs w:val="false"/>
          <w:color w:val="000000"/>
          <w:spacing w:val="-12"/>
          <w:sz w:val="28"/>
          <w:szCs w:val="28"/>
          <w:shd w:fill="FFFFFF" w:val="clear"/>
        </w:rPr>
        <w:t xml:space="preserve">    контроля </w:t>
      </w:r>
      <w:r>
        <w:rPr>
          <w:rFonts w:cs="Times New Roman"/>
          <w:b w:val="false"/>
          <w:bCs w:val="false"/>
          <w:iCs/>
          <w:color w:val="000000"/>
          <w:spacing w:val="-12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bCs w:val="false"/>
          <w:iCs/>
          <w:color w:val="000000"/>
          <w:spacing w:val="-12"/>
          <w:sz w:val="28"/>
          <w:szCs w:val="28"/>
          <w:shd w:fill="FFFFFF" w:val="clear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/>
          <w:b w:val="false"/>
          <w:bCs w:val="false"/>
          <w:iCs/>
          <w:color w:val="000000"/>
          <w:spacing w:val="-12"/>
          <w:sz w:val="28"/>
          <w:szCs w:val="28"/>
          <w:shd w:fill="FFFFFF" w:val="clear"/>
        </w:rPr>
        <w:t xml:space="preserve"> в границах городского округа –  </w:t>
      </w:r>
      <w:r>
        <w:rPr>
          <w:rFonts w:cs="Times New Roman"/>
          <w:b w:val="false"/>
          <w:bCs w:val="false"/>
          <w:iCs/>
          <w:color w:val="000000"/>
          <w:spacing w:val="-5"/>
          <w:sz w:val="28"/>
          <w:szCs w:val="28"/>
          <w:shd w:fill="FFFFFF" w:val="clear"/>
        </w:rPr>
        <w:t>город Кирсанов Тамбовской области</w:t>
      </w:r>
    </w:p>
    <w:p>
      <w:pPr>
        <w:pStyle w:val="Style22"/>
        <w:jc w:val="both"/>
        <w:rPr>
          <w:rFonts w:ascii="Times New Roman" w:hAnsi="Times New Roman" w:cs="Times New Roman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Style22"/>
        <w:jc w:val="both"/>
        <w:rPr>
          <w:rFonts w:ascii="Liberation Serif" w:hAnsi="Liberation Serif"/>
        </w:rPr>
      </w:pPr>
      <w:r>
        <w:rPr>
          <w:rFonts w:cs="Times New Roman"/>
        </w:rPr>
        <w:tab/>
        <w:t>В соответствии  со</w:t>
      </w:r>
      <w:r>
        <w:rPr>
          <w:rFonts w:cs="Times New Roman"/>
          <w:spacing w:val="73"/>
          <w:w w:val="150"/>
        </w:rPr>
        <w:t xml:space="preserve"> </w:t>
      </w:r>
      <w:r>
        <w:rPr>
          <w:rFonts w:cs="Times New Roman"/>
        </w:rPr>
        <w:t>статьей</w:t>
      </w:r>
      <w:r>
        <w:rPr>
          <w:rFonts w:cs="Times New Roman"/>
          <w:spacing w:val="23"/>
        </w:rPr>
        <w:t xml:space="preserve">  </w:t>
      </w:r>
      <w:r>
        <w:rPr>
          <w:rFonts w:cs="Times New Roman"/>
        </w:rPr>
        <w:t>47</w:t>
      </w:r>
      <w:r>
        <w:rPr>
          <w:rFonts w:cs="Times New Roman"/>
          <w:spacing w:val="73"/>
          <w:w w:val="150"/>
        </w:rPr>
        <w:t xml:space="preserve"> </w:t>
      </w:r>
      <w:r>
        <w:rPr>
          <w:rFonts w:cs="Times New Roman"/>
        </w:rPr>
        <w:t>Федерального</w:t>
      </w:r>
      <w:r>
        <w:rPr>
          <w:rFonts w:cs="Times New Roman"/>
          <w:spacing w:val="29"/>
        </w:rPr>
        <w:t xml:space="preserve">  </w:t>
      </w:r>
      <w:r>
        <w:rPr>
          <w:rFonts w:cs="Times New Roman"/>
        </w:rPr>
        <w:t>закона</w:t>
      </w:r>
      <w:r>
        <w:rPr>
          <w:rFonts w:cs="Times New Roman"/>
          <w:spacing w:val="77"/>
          <w:w w:val="150"/>
        </w:rPr>
        <w:t xml:space="preserve"> </w:t>
      </w:r>
      <w:r>
        <w:rPr>
          <w:rFonts w:cs="Times New Roman"/>
        </w:rPr>
        <w:t>от</w:t>
      </w:r>
      <w:r>
        <w:rPr>
          <w:rFonts w:cs="Times New Roman"/>
          <w:spacing w:val="68"/>
          <w:w w:val="150"/>
        </w:rPr>
        <w:t xml:space="preserve"> </w:t>
      </w:r>
      <w:r>
        <w:rPr>
          <w:rFonts w:cs="Times New Roman"/>
          <w:spacing w:val="-2"/>
        </w:rPr>
        <w:t xml:space="preserve">31.07.2020 </w:t>
      </w:r>
      <w:r>
        <w:rPr>
          <w:rFonts w:cs="Times New Roman"/>
          <w:spacing w:val="-4"/>
        </w:rPr>
        <w:t>№248-ФЗ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4"/>
        </w:rPr>
        <w:t>«О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-4"/>
        </w:rPr>
        <w:t>государственном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-4"/>
        </w:rPr>
        <w:t>контроле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-4"/>
        </w:rPr>
        <w:t>(надзоре)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  <w:spacing w:val="-4"/>
        </w:rPr>
        <w:t>и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4"/>
        </w:rPr>
        <w:t>муниципальном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  <w:spacing w:val="-4"/>
        </w:rPr>
        <w:t>контроле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4"/>
        </w:rPr>
        <w:t xml:space="preserve">в </w:t>
      </w:r>
      <w:r>
        <w:rPr>
          <w:rFonts w:cs="Times New Roman"/>
        </w:rPr>
        <w:t>Российской Федерации», постановлением Правительства Российской Федерации от 07.12.2020 № 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 и в целях осуществления функций по муниципальному контролю</w:t>
      </w:r>
      <w:r>
        <w:rPr>
          <w:rFonts w:cs="Times New Roman"/>
          <w:color w:val="000000"/>
        </w:rPr>
        <w:t>:</w:t>
      </w:r>
    </w:p>
    <w:p>
      <w:pPr>
        <w:pStyle w:val="Style22"/>
        <w:spacing w:before="0" w:after="0"/>
        <w:jc w:val="both"/>
        <w:rPr>
          <w:rFonts w:ascii="Liberation Serif" w:hAnsi="Liberation Serif"/>
        </w:rPr>
      </w:pPr>
      <w:r>
        <w:rPr>
          <w:rFonts w:cs="Times New Roman"/>
        </w:rPr>
        <w:t>1.</w:t>
      </w:r>
      <w:r>
        <w:rPr>
          <w:rFonts w:cs="Times New Roman"/>
          <w:b w:val="false"/>
          <w:bCs w:val="false"/>
        </w:rPr>
        <w:t xml:space="preserve"> </w:t>
      </w:r>
      <w:r>
        <w:rPr>
          <w:rFonts w:cs="Times New Roman"/>
          <w:b w:val="false"/>
          <w:bCs w:val="false"/>
          <w:color w:val="000000"/>
        </w:rPr>
        <w:t>Утвердить д</w:t>
      </w:r>
      <w:r>
        <w:rPr>
          <w:rFonts w:cs="Times New Roman"/>
          <w:b w:val="false"/>
          <w:bCs w:val="false"/>
          <w:color w:val="000000"/>
          <w:spacing w:val="-6"/>
        </w:rPr>
        <w:t xml:space="preserve">оклад </w:t>
      </w:r>
      <w:r>
        <w:rPr>
          <w:rFonts w:cs="Times New Roman"/>
          <w:b w:val="false"/>
          <w:bCs w:val="false"/>
          <w:color w:val="000000"/>
          <w:spacing w:val="-6"/>
          <w:sz w:val="28"/>
          <w:szCs w:val="28"/>
        </w:rPr>
        <w:t xml:space="preserve">о результатах обобщения правоприменительной практики  </w:t>
      </w:r>
      <w:r>
        <w:rPr>
          <w:rFonts w:cs="Times New Roman"/>
          <w:b w:val="false"/>
          <w:bCs w:val="false"/>
          <w:color w:val="000000"/>
          <w:spacing w:val="-6"/>
          <w:sz w:val="28"/>
          <w:szCs w:val="28"/>
          <w:shd w:fill="FFFFFF" w:val="clear"/>
        </w:rPr>
        <w:t>при осуществлении муниципального</w:t>
      </w:r>
      <w:r>
        <w:rPr>
          <w:rFonts w:cs="Times New Roman"/>
          <w:b w:val="false"/>
          <w:bCs w:val="false"/>
          <w:color w:val="000000"/>
          <w:spacing w:val="-12"/>
          <w:sz w:val="28"/>
          <w:szCs w:val="28"/>
          <w:shd w:fill="FFFFFF" w:val="clear"/>
        </w:rPr>
        <w:t xml:space="preserve">    контроля </w:t>
      </w:r>
      <w:r>
        <w:rPr>
          <w:rFonts w:cs="Times New Roman"/>
          <w:b w:val="false"/>
          <w:bCs w:val="false"/>
          <w:iCs/>
          <w:color w:val="000000"/>
          <w:spacing w:val="-12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bCs w:val="false"/>
          <w:iCs/>
          <w:color w:val="000000"/>
          <w:spacing w:val="-12"/>
          <w:sz w:val="28"/>
          <w:szCs w:val="28"/>
          <w:shd w:fill="FFFFFF" w:val="clear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/>
          <w:b w:val="false"/>
          <w:bCs w:val="false"/>
          <w:iCs/>
          <w:color w:val="000000"/>
          <w:spacing w:val="-12"/>
          <w:sz w:val="28"/>
          <w:szCs w:val="28"/>
          <w:shd w:fill="FFFFFF" w:val="clear"/>
        </w:rPr>
        <w:t xml:space="preserve"> в границах городского округа –  </w:t>
      </w:r>
      <w:r>
        <w:rPr>
          <w:rFonts w:cs="Times New Roman"/>
          <w:b w:val="false"/>
          <w:bCs w:val="false"/>
          <w:iCs/>
          <w:color w:val="000000"/>
          <w:spacing w:val="-5"/>
          <w:sz w:val="28"/>
          <w:szCs w:val="28"/>
          <w:shd w:fill="FFFFFF" w:val="clear"/>
        </w:rPr>
        <w:t xml:space="preserve">город Кирсанов Тамбовской области   </w:t>
      </w:r>
      <w:r>
        <w:rPr>
          <w:rFonts w:cs="Times New Roman"/>
          <w:b w:val="false"/>
          <w:bCs w:val="false"/>
          <w:color w:val="000000"/>
        </w:rPr>
        <w:t>согласно приложению.</w:t>
      </w:r>
    </w:p>
    <w:p>
      <w:pPr>
        <w:pStyle w:val="Style22"/>
        <w:spacing w:before="0" w:after="0"/>
        <w:jc w:val="both"/>
        <w:rPr>
          <w:rFonts w:ascii="Liberation Serif" w:hAnsi="Liberation Serif"/>
        </w:rPr>
      </w:pPr>
      <w:r>
        <w:rPr>
          <w:rFonts w:cs="Times New Roman"/>
          <w:color w:val="000000"/>
        </w:rPr>
        <w:t xml:space="preserve">2. </w:t>
      </w:r>
      <w:r>
        <w:rPr>
          <w:rFonts w:cs="Times New Roman"/>
          <w:color w:val="000000"/>
          <w:sz w:val="28"/>
          <w:szCs w:val="28"/>
        </w:rPr>
        <w:t xml:space="preserve">Разместить настоящее распоряжение на официальном сайте администрации города в разделе Муниципальный контроль/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Доклады, содержащие результаты обобщения правоприменительной практики/</w:t>
      </w:r>
      <w:r>
        <w:rPr>
          <w:rFonts w:cs="Times New Roman"/>
          <w:color w:val="000000"/>
          <w:sz w:val="28"/>
          <w:szCs w:val="28"/>
        </w:rPr>
        <w:t xml:space="preserve"> и  </w:t>
      </w:r>
      <w:r>
        <w:rPr>
          <w:rFonts w:cs="Times New Roman"/>
          <w:sz w:val="28"/>
          <w:szCs w:val="28"/>
        </w:rPr>
        <w:t xml:space="preserve"> в местах официального обнародования муниципальных правовых актов муниципального образования города Кирсанова.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ab/>
        <w:t>3. Контроль за выполнением настоящего распоряжения возложить на заместителя главы администрации города, начальника финансового управления администрации города О.И. Панину.</w:t>
      </w:r>
    </w:p>
    <w:p>
      <w:pPr>
        <w:pStyle w:val="Normal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r>
    </w:p>
    <w:p>
      <w:pPr>
        <w:pStyle w:val="Normal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  <w:t>И.о. г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  <w:t xml:space="preserve">лавы администрации  города       </w:t>
        <w:tab/>
        <w:tab/>
        <w:t xml:space="preserve">                                      Т. С. Савина </w:t>
      </w:r>
    </w:p>
    <w:p>
      <w:pPr>
        <w:pStyle w:val="Normal"/>
        <w:jc w:val="both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pP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r>
    </w:p>
    <w:p>
      <w:pPr>
        <w:pStyle w:val="Normal"/>
        <w:jc w:val="both"/>
        <w:rPr>
          <w:rFonts w:ascii="Times New Roman" w:hAnsi="Times New Roman" w:cs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pP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lang w:eastAsia="ar-SA"/>
        </w:rPr>
      </w:r>
    </w:p>
    <w:p>
      <w:pPr>
        <w:pStyle w:val="Style22"/>
        <w:spacing w:lineRule="auto" w:line="240" w:before="67" w:after="0"/>
        <w:ind w:left="6631" w:right="8" w:firstLine="57"/>
        <w:jc w:val="right"/>
        <w:rPr>
          <w:spacing w:val="-2"/>
        </w:rPr>
      </w:pPr>
      <w:r>
        <w:rPr/>
      </w:r>
    </w:p>
    <w:p>
      <w:pPr>
        <w:pStyle w:val="Style22"/>
        <w:spacing w:lineRule="auto" w:line="240" w:before="67" w:after="0"/>
        <w:ind w:left="6631" w:right="8" w:firstLine="57"/>
        <w:jc w:val="right"/>
        <w:rPr/>
      </w:pPr>
      <w:r>
        <w:rPr>
          <w:spacing w:val="-2"/>
        </w:rPr>
        <w:t xml:space="preserve">Приложение </w:t>
      </w:r>
    </w:p>
    <w:p>
      <w:pPr>
        <w:pStyle w:val="Style22"/>
        <w:spacing w:lineRule="auto" w:line="240" w:before="67" w:after="0"/>
        <w:ind w:left="6631" w:right="8" w:firstLine="57"/>
        <w:jc w:val="right"/>
        <w:rPr/>
      </w:pPr>
      <w:r>
        <w:rPr>
          <w:spacing w:val="-2"/>
        </w:rPr>
        <w:t>УТВЕРЖДЕН</w:t>
      </w:r>
    </w:p>
    <w:p>
      <w:pPr>
        <w:pStyle w:val="Style22"/>
        <w:ind w:left="5834" w:right="8" w:hanging="567"/>
        <w:jc w:val="right"/>
        <w:rPr/>
      </w:pPr>
      <w:r>
        <w:rPr/>
        <w:t>распоряжением</w:t>
      </w:r>
      <w:r>
        <w:rPr>
          <w:spacing w:val="-18"/>
        </w:rPr>
        <w:t xml:space="preserve">     </w:t>
      </w:r>
      <w:r>
        <w:rPr/>
        <w:t xml:space="preserve">администрации города Кирсанова </w:t>
      </w:r>
    </w:p>
    <w:p>
      <w:pPr>
        <w:pStyle w:val="Style22"/>
        <w:spacing w:lineRule="exact" w:line="321"/>
        <w:ind w:left="5613" w:right="0" w:hanging="0"/>
        <w:jc w:val="right"/>
        <w:rPr>
          <w:spacing w:val="-10"/>
        </w:rPr>
      </w:pPr>
      <w:r>
        <w:rPr/>
        <w:t xml:space="preserve">от </w:t>
      </w:r>
      <w:r>
        <w:rPr/>
        <w:t>10.02.</w:t>
      </w:r>
      <w:r>
        <w:rPr>
          <w:spacing w:val="-1"/>
        </w:rPr>
        <w:t xml:space="preserve"> </w:t>
      </w:r>
      <w:r>
        <w:rPr>
          <w:spacing w:val="62"/>
        </w:rPr>
        <w:t>2</w:t>
      </w:r>
      <w:r>
        <w:rPr/>
        <w:t xml:space="preserve">026г. № </w:t>
      </w:r>
      <w:r>
        <w:rPr/>
        <w:t>29-р</w:t>
      </w:r>
    </w:p>
    <w:p>
      <w:pPr>
        <w:pStyle w:val="Style22"/>
        <w:ind w:left="0" w:right="0" w:hanging="0"/>
        <w:jc w:val="left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  <w:color w:val="000000"/>
          <w:sz w:val="28"/>
          <w:szCs w:val="28"/>
        </w:rPr>
        <w:t>Доклад</w:t>
      </w:r>
    </w:p>
    <w:p>
      <w:pPr>
        <w:pStyle w:val="Normal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результатах обобщения правоприменительной практики</w:t>
      </w:r>
    </w:p>
    <w:p>
      <w:pPr>
        <w:pStyle w:val="Normal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при осуществлении муниципального</w:t>
      </w:r>
      <w:r>
        <w:rPr>
          <w:b/>
          <w:bCs/>
          <w:color w:val="000000"/>
          <w:spacing w:val="-12"/>
          <w:sz w:val="28"/>
          <w:szCs w:val="28"/>
        </w:rPr>
        <w:t xml:space="preserve"> </w:t>
      </w:r>
      <w:r>
        <w:rPr>
          <w:b/>
          <w:bCs/>
          <w:color w:val="000000"/>
          <w:spacing w:val="-12"/>
          <w:sz w:val="28"/>
          <w:szCs w:val="28"/>
          <w:shd w:fill="FFFFFF" w:val="clear"/>
        </w:rPr>
        <w:t xml:space="preserve"> контроля на автомобильном транспорте, городском наземном электрическом транспорте и в дорожном хозяйстве</w:t>
      </w:r>
      <w:r>
        <w:rPr>
          <w:b/>
          <w:bCs/>
          <w:iCs/>
          <w:color w:val="000000"/>
          <w:spacing w:val="-12"/>
          <w:sz w:val="28"/>
          <w:szCs w:val="28"/>
        </w:rPr>
        <w:t xml:space="preserve"> </w:t>
      </w:r>
      <w:r>
        <w:rPr>
          <w:b/>
          <w:bCs/>
          <w:iCs/>
          <w:color w:val="000000"/>
          <w:spacing w:val="-12"/>
          <w:sz w:val="28"/>
          <w:szCs w:val="28"/>
          <w:shd w:fill="FFFFFF" w:val="clear"/>
        </w:rPr>
        <w:t xml:space="preserve">в границах городского округа –  </w:t>
      </w:r>
      <w:r>
        <w:rPr>
          <w:b/>
          <w:bCs/>
          <w:iCs/>
          <w:color w:val="000000"/>
          <w:spacing w:val="-5"/>
          <w:sz w:val="28"/>
          <w:szCs w:val="28"/>
          <w:shd w:fill="FFFFFF" w:val="clear"/>
        </w:rPr>
        <w:t>город Кирсанов Тамбовской области</w:t>
      </w:r>
    </w:p>
    <w:p>
      <w:pPr>
        <w:pStyle w:val="Normal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Настоящий доклад подготовлен в соответствии со ст. 47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07.12.2020 года № 2041 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</w:t>
      </w:r>
      <w:r>
        <w:rPr>
          <w:color w:val="000000"/>
          <w:spacing w:val="-2"/>
          <w:sz w:val="28"/>
          <w:szCs w:val="28"/>
        </w:rPr>
        <w:t>Федерации».</w:t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</w:t>
      </w:r>
      <w:r>
        <w:rPr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сведения</w:t>
      </w:r>
      <w:r>
        <w:rPr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муниципальном</w:t>
      </w:r>
      <w:r>
        <w:rPr>
          <w:b/>
          <w:bCs/>
          <w:color w:val="000000"/>
          <w:spacing w:val="-9"/>
          <w:sz w:val="28"/>
          <w:szCs w:val="28"/>
        </w:rPr>
        <w:t xml:space="preserve">  </w:t>
      </w:r>
      <w:r>
        <w:rPr>
          <w:b/>
          <w:bCs/>
          <w:color w:val="000000"/>
          <w:spacing w:val="-2"/>
          <w:sz w:val="28"/>
          <w:szCs w:val="28"/>
        </w:rPr>
        <w:t>контроле</w:t>
      </w:r>
    </w:p>
    <w:p>
      <w:pPr>
        <w:pStyle w:val="Normal"/>
        <w:jc w:val="both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 w:val="false"/>
          <w:bCs w:val="false"/>
          <w:color w:val="000000"/>
          <w:spacing w:val="-6"/>
          <w:sz w:val="28"/>
          <w:szCs w:val="28"/>
        </w:rPr>
        <w:tab/>
        <w:t>На</w:t>
      </w:r>
      <w:r>
        <w:rPr>
          <w:b w:val="false"/>
          <w:bCs w:val="false"/>
          <w:color w:val="000000"/>
          <w:sz w:val="28"/>
          <w:szCs w:val="28"/>
        </w:rPr>
        <w:tab/>
      </w:r>
      <w:r>
        <w:rPr>
          <w:rFonts w:cs="Times New Roman"/>
          <w:b w:val="false"/>
          <w:bCs w:val="false"/>
          <w:color w:val="000000"/>
          <w:sz w:val="28"/>
          <w:szCs w:val="28"/>
        </w:rPr>
        <w:t>территории  городского округа - город Кирсанов Тамбовской области</w:t>
      </w:r>
      <w:r>
        <w:rPr>
          <w:b w:val="false"/>
          <w:bCs w:val="false"/>
          <w:color w:val="000000"/>
          <w:sz w:val="28"/>
          <w:szCs w:val="28"/>
        </w:rPr>
        <w:t xml:space="preserve"> муниципальный  контроль </w:t>
      </w:r>
      <w:r>
        <w:rPr>
          <w:rFonts w:cs="Times New Roman"/>
          <w:b w:val="false"/>
          <w:bCs w:val="false"/>
          <w:iCs/>
          <w:color w:val="000000"/>
          <w:spacing w:val="-13"/>
          <w:sz w:val="28"/>
          <w:szCs w:val="28"/>
          <w:shd w:fill="FFFFFF" w:val="clear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 xml:space="preserve"> </w:t>
      </w:r>
      <w:r>
        <w:rPr>
          <w:b w:val="false"/>
          <w:bCs w:val="false"/>
          <w:color w:val="000000"/>
          <w:spacing w:val="-12"/>
          <w:sz w:val="28"/>
          <w:szCs w:val="28"/>
          <w:shd w:fill="FFFFFF" w:val="clear"/>
        </w:rPr>
        <w:t>на автомобильном транспорте, городском наземном электрическом транспорте и в дорожном хозяйстве</w:t>
      </w:r>
      <w:r>
        <w:rPr>
          <w:b w:val="false"/>
          <w:bCs w:val="false"/>
          <w:iCs/>
          <w:color w:val="000000"/>
          <w:spacing w:val="-12"/>
          <w:sz w:val="28"/>
          <w:szCs w:val="28"/>
        </w:rPr>
        <w:t xml:space="preserve"> </w:t>
      </w:r>
      <w:r>
        <w:rPr>
          <w:b w:val="false"/>
          <w:bCs w:val="false"/>
          <w:iCs/>
          <w:color w:val="000000"/>
          <w:spacing w:val="-12"/>
          <w:sz w:val="28"/>
          <w:szCs w:val="28"/>
          <w:shd w:fill="FFFFFF" w:val="clear"/>
        </w:rPr>
        <w:t xml:space="preserve">в границах городского округа –  </w:t>
      </w:r>
      <w:r>
        <w:rPr>
          <w:b w:val="false"/>
          <w:bCs w:val="false"/>
          <w:iCs/>
          <w:color w:val="000000"/>
          <w:spacing w:val="-5"/>
          <w:sz w:val="28"/>
          <w:szCs w:val="28"/>
          <w:shd w:fill="FFFFFF" w:val="clear"/>
        </w:rPr>
        <w:t>город Кирсанов Тамбовской области</w:t>
      </w:r>
      <w:r>
        <w:rPr>
          <w:b w:val="false"/>
          <w:bCs w:val="false"/>
          <w:i/>
          <w:iCs/>
          <w:color w:val="000000"/>
          <w:spacing w:val="-5"/>
          <w:sz w:val="28"/>
          <w:szCs w:val="28"/>
          <w:shd w:fill="FFFFFF" w:val="clear"/>
        </w:rPr>
        <w:t xml:space="preserve"> </w:t>
      </w:r>
      <w:r>
        <w:rPr>
          <w:b w:val="false"/>
          <w:bCs w:val="false"/>
          <w:color w:val="000000"/>
          <w:spacing w:val="-5"/>
          <w:sz w:val="28"/>
          <w:szCs w:val="28"/>
          <w:shd w:fill="FFFFFF" w:val="clear"/>
        </w:rPr>
        <w:t xml:space="preserve">и индикаторов риска </w:t>
      </w:r>
      <w:r>
        <w:rPr>
          <w:b w:val="false"/>
          <w:bCs w:val="false"/>
          <w:color w:val="000000"/>
          <w:sz w:val="28"/>
          <w:szCs w:val="28"/>
        </w:rPr>
        <w:t>осуществляется в соответствии с:</w:t>
      </w:r>
    </w:p>
    <w:p>
      <w:pPr>
        <w:pStyle w:val="Normal"/>
        <w:jc w:val="both"/>
        <w:rPr>
          <w:b w:val="false"/>
          <w:bCs w:val="false"/>
          <w:color w:val="000000"/>
        </w:rPr>
      </w:pPr>
      <w:r>
        <w:rPr>
          <w:b w:val="false"/>
          <w:bCs w:val="false"/>
          <w:color w:val="000000"/>
          <w:sz w:val="28"/>
          <w:szCs w:val="28"/>
        </w:rPr>
        <w:tab/>
        <w:t>-Федеральным</w:t>
      </w:r>
      <w:r>
        <w:rPr>
          <w:b w:val="false"/>
          <w:bCs w:val="false"/>
          <w:color w:val="000000"/>
          <w:spacing w:val="8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законом</w:t>
      </w:r>
      <w:r>
        <w:rPr>
          <w:b w:val="false"/>
          <w:bCs w:val="false"/>
          <w:color w:val="000000"/>
          <w:spacing w:val="8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от</w:t>
      </w:r>
      <w:r>
        <w:rPr>
          <w:b w:val="false"/>
          <w:bCs w:val="false"/>
          <w:color w:val="000000"/>
          <w:spacing w:val="8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31.07.2020</w:t>
      </w:r>
      <w:r>
        <w:rPr>
          <w:b w:val="false"/>
          <w:bCs w:val="false"/>
          <w:color w:val="000000"/>
          <w:spacing w:val="8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№</w:t>
      </w:r>
      <w:r>
        <w:rPr>
          <w:b w:val="false"/>
          <w:bCs w:val="false"/>
          <w:color w:val="000000"/>
          <w:spacing w:val="8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248-ФЗ</w:t>
      </w:r>
      <w:r>
        <w:rPr>
          <w:b w:val="false"/>
          <w:bCs w:val="false"/>
          <w:color w:val="000000"/>
          <w:spacing w:val="8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«О</w:t>
      </w:r>
      <w:r>
        <w:rPr>
          <w:b w:val="false"/>
          <w:bCs w:val="false"/>
          <w:color w:val="000000"/>
          <w:spacing w:val="8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государственном контроле (надзоре) и муниципальном контроле в Российской Федерации»;</w:t>
      </w:r>
    </w:p>
    <w:p>
      <w:pPr>
        <w:pStyle w:val="Normal"/>
        <w:jc w:val="both"/>
        <w:rPr>
          <w:b w:val="false"/>
          <w:bCs w:val="false"/>
          <w:color w:val="000000"/>
        </w:rPr>
      </w:pPr>
      <w:r>
        <w:rPr>
          <w:b w:val="false"/>
          <w:bCs w:val="false"/>
          <w:color w:val="000000"/>
          <w:sz w:val="28"/>
          <w:szCs w:val="28"/>
        </w:rPr>
        <w:tab/>
        <w:t>-Федеральным</w:t>
      </w:r>
      <w:r>
        <w:rPr>
          <w:b w:val="false"/>
          <w:bCs w:val="false"/>
          <w:color w:val="000000"/>
          <w:spacing w:val="4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законом</w:t>
      </w:r>
      <w:r>
        <w:rPr>
          <w:b w:val="false"/>
          <w:bCs w:val="false"/>
          <w:color w:val="000000"/>
          <w:spacing w:val="4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от</w:t>
      </w:r>
      <w:r>
        <w:rPr>
          <w:b w:val="false"/>
          <w:bCs w:val="false"/>
          <w:color w:val="000000"/>
          <w:spacing w:val="4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06.10.2003</w:t>
      </w:r>
      <w:r>
        <w:rPr>
          <w:b w:val="false"/>
          <w:bCs w:val="false"/>
          <w:color w:val="000000"/>
          <w:spacing w:val="4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№</w:t>
      </w:r>
      <w:r>
        <w:rPr>
          <w:b w:val="false"/>
          <w:bCs w:val="false"/>
          <w:color w:val="000000"/>
          <w:spacing w:val="4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131-ФЗ</w:t>
      </w:r>
      <w:r>
        <w:rPr>
          <w:b w:val="false"/>
          <w:bCs w:val="false"/>
          <w:color w:val="000000"/>
          <w:spacing w:val="4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«Об</w:t>
      </w:r>
      <w:r>
        <w:rPr>
          <w:b w:val="false"/>
          <w:bCs w:val="false"/>
          <w:color w:val="000000"/>
          <w:spacing w:val="4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общих</w:t>
      </w:r>
      <w:r>
        <w:rPr>
          <w:b w:val="false"/>
          <w:bCs w:val="false"/>
          <w:color w:val="000000"/>
          <w:spacing w:val="40"/>
          <w:sz w:val="28"/>
          <w:szCs w:val="28"/>
        </w:rPr>
        <w:t xml:space="preserve"> </w:t>
      </w:r>
      <w:r>
        <w:rPr>
          <w:b w:val="false"/>
          <w:bCs w:val="false"/>
          <w:color w:val="000000"/>
          <w:sz w:val="28"/>
          <w:szCs w:val="28"/>
        </w:rPr>
        <w:t>принципах организации местного самоуправления в Российской Федерации»;</w:t>
      </w:r>
    </w:p>
    <w:p>
      <w:pPr>
        <w:pStyle w:val="Normal"/>
        <w:jc w:val="both"/>
        <w:rPr>
          <w:b w:val="false"/>
          <w:bCs w:val="false"/>
          <w:color w:val="000000"/>
        </w:rPr>
      </w:pPr>
      <w:r>
        <w:rPr>
          <w:b w:val="false"/>
          <w:bCs w:val="false"/>
          <w:color w:val="000000"/>
          <w:sz w:val="28"/>
          <w:szCs w:val="28"/>
        </w:rPr>
        <w:tab/>
        <w:t xml:space="preserve">- Положением о 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 xml:space="preserve"> м</w:t>
      </w:r>
      <w:r>
        <w:rPr>
          <w:rFonts w:cs="Times New Roman"/>
          <w:b w:val="false"/>
          <w:bCs w:val="false"/>
          <w:color w:val="000000"/>
          <w:sz w:val="28"/>
          <w:szCs w:val="28"/>
          <w:shd w:fill="FFFFFF" w:val="clear"/>
        </w:rPr>
        <w:t xml:space="preserve">униципальном контроле на автомобильном транспорте, городском наземном электрическом транспорте и в дорожном хозяйстве </w:t>
      </w:r>
      <w:r>
        <w:rPr>
          <w:rFonts w:cs="Times New Roman"/>
          <w:b w:val="false"/>
          <w:bCs w:val="false"/>
          <w:iCs/>
          <w:color w:val="000000"/>
          <w:sz w:val="28"/>
          <w:szCs w:val="28"/>
          <w:shd w:fill="FFFFFF" w:val="clear"/>
        </w:rPr>
        <w:t>в границах городского округа – город Кирсанов Тамбовской области</w:t>
      </w:r>
      <w:r>
        <w:rPr>
          <w:b w:val="false"/>
          <w:bCs w:val="false"/>
          <w:color w:val="000000"/>
          <w:sz w:val="28"/>
          <w:szCs w:val="28"/>
          <w:shd w:fill="FFFFFF" w:val="clear"/>
        </w:rPr>
        <w:t>,</w:t>
      </w:r>
      <w:r>
        <w:rPr>
          <w:b w:val="false"/>
          <w:bCs w:val="false"/>
          <w:color w:val="000000"/>
          <w:sz w:val="28"/>
          <w:szCs w:val="28"/>
        </w:rPr>
        <w:t xml:space="preserve"> утвержденном решением Кирсановского городского  Совета  народных депутатов Тамбовской области от </w:t>
      </w:r>
      <w:r>
        <w:rPr>
          <w:b w:val="false"/>
          <w:bCs w:val="false"/>
          <w:color w:val="000000"/>
          <w:sz w:val="28"/>
          <w:szCs w:val="28"/>
          <w:shd w:fill="FFFFFF" w:val="clear"/>
        </w:rPr>
        <w:t xml:space="preserve"> 11.11.2021 № 100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 xml:space="preserve"> (с изменениями);</w:t>
      </w:r>
    </w:p>
    <w:p>
      <w:pPr>
        <w:pStyle w:val="Normal"/>
        <w:jc w:val="both"/>
        <w:rPr>
          <w:b w:val="false"/>
          <w:bCs w:val="false"/>
          <w:color w:val="000000"/>
        </w:rPr>
      </w:pPr>
      <w:r>
        <w:rPr>
          <w:rFonts w:cs="Times New Roman"/>
          <w:b w:val="false"/>
          <w:bCs w:val="false"/>
          <w:color w:val="000000"/>
          <w:sz w:val="28"/>
          <w:szCs w:val="28"/>
        </w:rPr>
        <w:tab/>
        <w:t xml:space="preserve">- </w:t>
      </w:r>
      <w:r>
        <w:rPr>
          <w:b w:val="false"/>
          <w:bCs w:val="false"/>
          <w:color w:val="000000"/>
          <w:sz w:val="28"/>
          <w:szCs w:val="28"/>
        </w:rPr>
        <w:t xml:space="preserve">Решением Кирсановского городского  Совета  народных депутатов Тамбовской области от 24 февраля   2022 года   № 137 (с изменениями) </w:t>
      </w:r>
      <w:r>
        <w:rPr>
          <w:b w:val="false"/>
          <w:bCs w:val="false"/>
          <w:color w:val="000000"/>
          <w:kern w:val="2"/>
          <w:sz w:val="28"/>
          <w:szCs w:val="28"/>
          <w:lang w:bidi="fa-IR"/>
        </w:rPr>
        <w:t xml:space="preserve"> «</w:t>
      </w:r>
      <w:r>
        <w:rPr>
          <w:b w:val="false"/>
          <w:bCs w:val="false"/>
          <w:color w:val="000000"/>
          <w:kern w:val="2"/>
          <w:sz w:val="28"/>
          <w:szCs w:val="28"/>
          <w:shd w:fill="FFFFFF" w:val="clear"/>
          <w:lang w:bidi="fa-IR"/>
        </w:rPr>
        <w:t>Об утверждении ключевых показателей и их целевых значений, индикативных показателей для</w:t>
      </w:r>
      <w:bookmarkStart w:id="0" w:name="_Hlk73706793"/>
      <w:bookmarkEnd w:id="0"/>
      <w:r>
        <w:rPr>
          <w:b w:val="false"/>
          <w:bCs w:val="false"/>
          <w:color w:val="000000"/>
          <w:kern w:val="2"/>
          <w:sz w:val="28"/>
          <w:szCs w:val="28"/>
          <w:shd w:fill="FFFFFF" w:val="clear"/>
          <w:lang w:bidi="fa-IR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– город  Кирсанов Тамбовской области</w:t>
      </w:r>
      <w:r>
        <w:rPr>
          <w:rFonts w:cs="Times New Roman"/>
          <w:b w:val="false"/>
          <w:bCs w:val="false"/>
          <w:color w:val="000000"/>
          <w:sz w:val="28"/>
          <w:szCs w:val="28"/>
          <w:highlight w:val="white"/>
        </w:rPr>
        <w:t>»</w:t>
      </w:r>
      <w:r>
        <w:rPr>
          <w:rFonts w:cs="Times New Roman"/>
          <w:b w:val="false"/>
          <w:bCs w:val="false"/>
          <w:iCs/>
          <w:color w:val="000000"/>
          <w:sz w:val="28"/>
          <w:szCs w:val="28"/>
          <w:shd w:fill="FFFFFF" w:val="clear"/>
        </w:rPr>
        <w:t>.</w:t>
      </w:r>
    </w:p>
    <w:p>
      <w:pPr>
        <w:pStyle w:val="Normal"/>
        <w:jc w:val="both"/>
        <w:rPr>
          <w:b w:val="false"/>
          <w:bCs w:val="false"/>
          <w:color w:val="000000"/>
        </w:rPr>
      </w:pPr>
      <w:r>
        <w:rPr>
          <w:b w:val="false"/>
          <w:bCs w:val="false"/>
          <w:color w:val="000000"/>
          <w:sz w:val="28"/>
          <w:szCs w:val="28"/>
        </w:rPr>
        <w:tab/>
        <w:t>Предметом муниципального контроля на автомобильном транспорте, городском наземном электрическом транспорте и в дорожном хозяйстве является соблюдение обязательных требований:</w:t>
      </w:r>
    </w:p>
    <w:p>
      <w:pPr>
        <w:pStyle w:val="12"/>
        <w:ind w:left="0" w:right="0" w:firstLine="709"/>
        <w:jc w:val="both"/>
        <w:rPr>
          <w:b w:val="false"/>
          <w:bCs w:val="false"/>
          <w:color w:val="000000"/>
        </w:rPr>
      </w:pPr>
      <w:r>
        <w:rPr>
          <w:b w:val="false"/>
          <w:bCs w:val="false"/>
          <w:color w:val="000000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>
      <w:pPr>
        <w:pStyle w:val="12"/>
        <w:ind w:left="0" w:right="0" w:firstLine="709"/>
        <w:jc w:val="both"/>
        <w:rPr>
          <w:color w:val="auto"/>
        </w:rPr>
      </w:pPr>
      <w:r>
        <w:rPr>
          <w:color w:val="auto"/>
          <w:sz w:val="28"/>
          <w:szCs w:val="28"/>
        </w:rPr>
        <w:t>1.1.)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>
      <w:pPr>
        <w:pStyle w:val="12"/>
        <w:ind w:left="0" w:right="0" w:firstLine="709"/>
        <w:jc w:val="both"/>
        <w:rPr>
          <w:color w:val="auto"/>
        </w:rPr>
      </w:pPr>
      <w:r>
        <w:rPr>
          <w:color w:val="auto"/>
          <w:sz w:val="28"/>
          <w:szCs w:val="28"/>
        </w:rPr>
        <w:t>1.2.) к осуществлению работ по капитальному ремонту, ремонту</w:t>
      </w:r>
      <w:r>
        <w:rPr>
          <w:color w:val="000000"/>
          <w:sz w:val="28"/>
          <w:szCs w:val="28"/>
        </w:rPr>
        <w:t xml:space="preserve">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</w:t>
      </w:r>
      <w:r>
        <w:rPr>
          <w:color w:val="auto"/>
          <w:sz w:val="28"/>
          <w:szCs w:val="28"/>
        </w:rPr>
        <w:t>дорог;</w:t>
      </w:r>
    </w:p>
    <w:p>
      <w:pPr>
        <w:pStyle w:val="Normal"/>
        <w:jc w:val="both"/>
        <w:rPr>
          <w:rFonts w:ascii="Times New Roman" w:hAnsi="Times New Roman"/>
          <w:b w:val="false"/>
          <w:bCs w:val="false"/>
          <w:color w:val="000000"/>
        </w:rPr>
      </w:pPr>
      <w:r>
        <w:rPr>
          <w:rFonts w:cs="Times New Roman"/>
          <w:b w:val="false"/>
          <w:bCs w:val="false"/>
          <w:color w:val="auto"/>
          <w:sz w:val="28"/>
          <w:szCs w:val="28"/>
        </w:rPr>
        <w:tab/>
        <w:t>2) установленных в отношении перевозок по муниципальным маршрутам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 xml:space="preserve">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>
      <w:pPr>
        <w:pStyle w:val="Style22"/>
        <w:rPr/>
      </w:pPr>
      <w:r>
        <w:rPr>
          <w:b w:val="false"/>
          <w:bCs w:val="false"/>
          <w:color w:val="000000"/>
          <w:sz w:val="28"/>
          <w:szCs w:val="28"/>
          <w:shd w:fill="FFFFFF" w:val="clear"/>
        </w:rPr>
        <w:t xml:space="preserve"> </w:t>
      </w:r>
      <w:r>
        <w:rPr>
          <w:b w:val="false"/>
          <w:bCs w:val="false"/>
          <w:color w:val="000000"/>
          <w:sz w:val="28"/>
          <w:szCs w:val="28"/>
          <w:shd w:fill="FFFFFF" w:val="clear"/>
        </w:rPr>
        <w:t xml:space="preserve">Нормативно-правовые акты, регулирующие вид контроля,    размещены на официальном сайте администрации города (далее — официальный сайт) в разделе «Муниципальный контроль/ 248-ФЗ/ </w:t>
      </w: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>Тексты НПА, регулирующие вид муниципального контроля/ по гиперссылке</w:t>
      </w:r>
      <w:r>
        <w:rPr>
          <w:b w:val="false"/>
          <w:bCs w:val="false"/>
          <w:color w:val="000000"/>
          <w:sz w:val="28"/>
          <w:szCs w:val="28"/>
          <w:shd w:fill="FFFFFF" w:val="clear"/>
        </w:rPr>
        <w:t xml:space="preserve">: </w:t>
      </w:r>
      <w:hyperlink r:id="rId3">
        <w:r>
          <w:rPr>
            <w:rStyle w:val="-"/>
            <w:b w:val="false"/>
            <w:bCs w:val="false"/>
            <w:color w:val="000000"/>
            <w:sz w:val="28"/>
            <w:szCs w:val="28"/>
            <w:shd w:fill="FFFFFF" w:val="clear"/>
          </w:rPr>
          <w:t>https://g37.tmbreg.ru/municipalnyj-kontrol/248-fz/teksty-npa-reguliruyushhie-vid-municipalnogo-kontrolya/municipalnyj-kontrol-na-avtomobilnom-transporte-gorodskom-nazemnom-elektricheskom-transporte-i-v-dorozhnom-hozyajstve.html</w:t>
        </w:r>
      </w:hyperlink>
      <w:r>
        <w:rPr>
          <w:rStyle w:val="-"/>
          <w:b w:val="false"/>
          <w:bCs w:val="false"/>
          <w:color w:val="000000"/>
          <w:sz w:val="28"/>
          <w:szCs w:val="28"/>
          <w:shd w:fill="FFFFFF" w:val="clear"/>
        </w:rPr>
        <w:t xml:space="preserve"> </w:t>
      </w:r>
      <w:r>
        <w:rPr>
          <w:b w:val="false"/>
          <w:bCs w:val="false"/>
          <w:color w:val="000000"/>
          <w:sz w:val="28"/>
          <w:szCs w:val="28"/>
          <w:shd w:fill="FFFFFF" w:val="clear"/>
        </w:rPr>
        <w:t xml:space="preserve"> </w:t>
      </w:r>
      <w:r>
        <w:rPr>
          <w:b w:val="false"/>
          <w:bCs w:val="false"/>
          <w:color w:val="000000"/>
          <w:sz w:val="28"/>
          <w:szCs w:val="28"/>
          <w:u w:val="none"/>
          <w:shd w:fill="FFFFFF" w:val="clear"/>
        </w:rPr>
        <w:t xml:space="preserve">. </w:t>
      </w:r>
    </w:p>
    <w:p>
      <w:pPr>
        <w:pStyle w:val="Style22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Органом, уполномоченным на осуществление муниципального контроля, является администрация города Кирсанова.</w:t>
      </w:r>
    </w:p>
    <w:p>
      <w:pPr>
        <w:pStyle w:val="Style22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условиях действия моратория, введенного постановлением Правительства Российской Федерации от 10.03.2022 №336 «Об особенностях организации и осуществления государственного контроля (надзора), муниципального контроля»,  плановые  контрольные мероприятия в отношении контролируемых лиц не проводились. </w:t>
      </w:r>
    </w:p>
    <w:p>
      <w:pPr>
        <w:pStyle w:val="Style22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Постановлением   администрации города Кирсанова Тамбовской области от 16 декабря 2024 года №880 утверждена Программа </w:t>
      </w:r>
      <w:r>
        <w:rPr>
          <w:b w:val="false"/>
          <w:color w:val="000000"/>
          <w:spacing w:val="-3"/>
          <w:sz w:val="28"/>
          <w:szCs w:val="28"/>
        </w:rPr>
        <w:t>профилактики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рисков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причинения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вреда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(ущерба) охраняемым законом ценностям в сфере муниципального контроля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на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автомобильном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транспорте,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городском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наземном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электрическом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транспорте и в дорожном хозяйстве на территории городского округа–город</w:t>
      </w:r>
      <w:r>
        <w:rPr>
          <w:b w:val="false"/>
          <w:color w:val="000000"/>
          <w:spacing w:val="-67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Кирсанов на 2025</w:t>
      </w:r>
      <w:r>
        <w:rPr>
          <w:b w:val="false"/>
          <w:color w:val="000000"/>
          <w:spacing w:val="1"/>
          <w:sz w:val="28"/>
          <w:szCs w:val="28"/>
        </w:rPr>
        <w:t xml:space="preserve"> </w:t>
      </w:r>
      <w:r>
        <w:rPr>
          <w:b w:val="false"/>
          <w:color w:val="000000"/>
          <w:spacing w:val="-3"/>
          <w:sz w:val="28"/>
          <w:szCs w:val="28"/>
        </w:rPr>
        <w:t>год</w:t>
      </w:r>
      <w:r>
        <w:rPr>
          <w:color w:val="000000"/>
          <w:spacing w:val="-2"/>
          <w:sz w:val="28"/>
          <w:szCs w:val="28"/>
        </w:rPr>
        <w:t>.</w:t>
      </w:r>
    </w:p>
    <w:p>
      <w:pPr>
        <w:sectPr>
          <w:type w:val="nextPage"/>
          <w:pgSz w:w="11906" w:h="16838"/>
          <w:pgMar w:left="1417" w:right="398" w:gutter="0" w:header="0" w:top="567" w:footer="0" w:bottom="567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Style22"/>
        <w:spacing w:before="6" w:after="0"/>
        <w:ind w:left="0" w:right="0" w:hanging="0"/>
        <w:jc w:val="left"/>
        <w:rPr/>
      </w:pPr>
      <w:r>
        <w:rPr/>
      </w:r>
    </w:p>
    <w:p>
      <w:pPr>
        <w:pStyle w:val="Normal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Сведения</w:t>
      </w:r>
      <w:r>
        <w:rPr>
          <w:b/>
          <w:bCs/>
          <w:color w:val="000000"/>
          <w:spacing w:val="-14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об</w:t>
      </w:r>
      <w:r>
        <w:rPr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организации</w:t>
      </w:r>
      <w:r>
        <w:rPr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b/>
          <w:bCs/>
          <w:color w:val="000000"/>
          <w:spacing w:val="-2"/>
          <w:sz w:val="28"/>
          <w:szCs w:val="28"/>
        </w:rPr>
        <w:t>контроля</w:t>
      </w:r>
    </w:p>
    <w:p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eastAsia="Calibri"/>
          <w:color w:val="000000"/>
          <w:sz w:val="28"/>
          <w:szCs w:val="28"/>
        </w:rPr>
        <w:tab/>
      </w:r>
      <w:r>
        <w:rPr>
          <w:rFonts w:eastAsia="Calibri" w:cs="PT Astra Serif"/>
          <w:color w:val="000000"/>
          <w:sz w:val="28"/>
          <w:szCs w:val="28"/>
        </w:rPr>
        <w:t xml:space="preserve">Орган муниципального контроля осуществляет муниципальный контроль </w:t>
      </w:r>
      <w:r>
        <w:rPr>
          <w:rFonts w:eastAsia="Calibri" w:cs="PT Astra Serif"/>
          <w:color w:val="000000"/>
          <w:sz w:val="28"/>
          <w:szCs w:val="28"/>
          <w:shd w:fill="FFFFFF" w:val="clear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eastAsia="Calibri" w:cs="PT Astra Serif"/>
          <w:color w:val="000000"/>
          <w:sz w:val="28"/>
          <w:szCs w:val="28"/>
        </w:rPr>
        <w:t xml:space="preserve">на основе управления рисками причинения вреда (ущерба) охраняемым законом ценностям.  </w:t>
      </w:r>
      <w:r>
        <w:rPr>
          <w:rFonts w:eastAsia="Calibri" w:cs="Times New Roman" w:eastAsiaTheme="minorHAnsi"/>
          <w:color w:val="000000"/>
          <w:sz w:val="28"/>
          <w:szCs w:val="28"/>
          <w:lang w:eastAsia="en-US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орган муниципального контроля разрабатывает индикаторы риска нарушения обязательных требований.  </w:t>
      </w:r>
      <w:r>
        <w:rPr>
          <w:rFonts w:cs="PT Astra Serif"/>
          <w:color w:val="000000"/>
          <w:sz w:val="28"/>
          <w:szCs w:val="28"/>
        </w:rPr>
        <w:t xml:space="preserve">Перечень индикаторов риска нарушения обязательных требований по </w:t>
      </w:r>
      <w:r>
        <w:rPr>
          <w:rFonts w:eastAsia="Calibri" w:cs="PT Astra Serif"/>
          <w:color w:val="000000"/>
          <w:sz w:val="28"/>
          <w:szCs w:val="28"/>
        </w:rPr>
        <w:t xml:space="preserve">муниципальному контролю </w:t>
      </w:r>
      <w:r>
        <w:rPr>
          <w:rFonts w:eastAsia="Calibri" w:cs="PT Astra Serif"/>
          <w:color w:val="000000"/>
          <w:sz w:val="28"/>
          <w:szCs w:val="28"/>
          <w:shd w:fill="FFFFFF" w:val="clear"/>
        </w:rPr>
        <w:t xml:space="preserve">на автомобильном транспорте, </w:t>
      </w:r>
      <w:r>
        <w:rPr>
          <w:rFonts w:eastAsia="Tahoma" w:cs="PT Astra Serif;Times New Roman"/>
          <w:color w:val="000000"/>
          <w:sz w:val="28"/>
          <w:szCs w:val="28"/>
          <w:shd w:fill="FFFFFF" w:val="clear"/>
        </w:rPr>
        <w:t xml:space="preserve">размещен на официальном сайте по ссылке: </w:t>
      </w:r>
      <w:hyperlink r:id="rId4">
        <w:r>
          <w:rPr>
            <w:rStyle w:val="-"/>
            <w:rFonts w:eastAsia="Tahoma" w:cs="PT Astra Serif;Times New Roman"/>
            <w:color w:val="000000"/>
            <w:sz w:val="28"/>
            <w:szCs w:val="28"/>
            <w:shd w:fill="FFFFFF" w:val="clear"/>
          </w:rPr>
          <w:t>https://g37.tmbreg.ru/municipalnyj-kontrol/248-fz/perechen-indikatorov-riska-narusheniya-obyazatelnyh-trebovanij-poryadok-otneseniya-obektov-k-kategoriyam-riska/municipalnyj-kontrol-na-avtomobilnom-transporte-gorodskom-nazemnom-elektricheskom-transporte-i-v-dorozhnom-hozyajstve.html</w:t>
        </w:r>
      </w:hyperlink>
      <w:r>
        <w:rPr>
          <w:rStyle w:val="-"/>
          <w:rFonts w:eastAsia="Tahoma" w:cs="PT Astra Serif;Times New Roman"/>
          <w:color w:val="000000"/>
          <w:sz w:val="28"/>
          <w:szCs w:val="28"/>
          <w:shd w:fill="FFFFFF" w:val="clear"/>
        </w:rPr>
        <w:t xml:space="preserve"> </w:t>
      </w:r>
      <w:r>
        <w:rPr>
          <w:rFonts w:eastAsia="Tahoma" w:cs="PT Astra Serif;Times New Roman"/>
          <w:color w:val="000000"/>
          <w:sz w:val="28"/>
          <w:szCs w:val="28"/>
          <w:shd w:fill="FFFFFF" w:val="clear"/>
        </w:rPr>
        <w:t xml:space="preserve"> .</w:t>
      </w:r>
      <w:r>
        <w:rPr>
          <w:rFonts w:eastAsia="Calibri" w:cs="PT Astra Serif"/>
          <w:color w:val="000000"/>
          <w:sz w:val="28"/>
          <w:szCs w:val="28"/>
          <w:shd w:fill="FFFFFF" w:val="clear"/>
        </w:rPr>
        <w:t xml:space="preserve">  </w:t>
      </w:r>
    </w:p>
    <w:p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eastAsia="Calibri" w:cs="PT Astra Serif"/>
          <w:color w:val="000000"/>
          <w:sz w:val="28"/>
          <w:szCs w:val="28"/>
          <w:u w:val="none"/>
          <w:shd w:fill="FFFFFF" w:val="clear"/>
          <w:lang w:eastAsia="en-US" w:bidi="ar-SA"/>
        </w:rPr>
        <w:tab/>
        <w:t xml:space="preserve">В рамках </w:t>
      </w:r>
      <w:r>
        <w:rPr>
          <w:rFonts w:eastAsia="Calibri" w:cs="PT Astra Serif"/>
          <w:color w:val="000000"/>
          <w:sz w:val="28"/>
          <w:szCs w:val="28"/>
          <w:u w:val="none"/>
          <w:shd w:fill="auto" w:val="clear"/>
          <w:lang w:eastAsia="en-US" w:bidi="ar-SA"/>
        </w:rPr>
        <w:t xml:space="preserve">муниципального контроля </w:t>
      </w:r>
      <w:r>
        <w:rPr>
          <w:rFonts w:eastAsia="Calibri" w:cs="PT Astra Serif"/>
          <w:color w:val="000000"/>
          <w:sz w:val="28"/>
          <w:szCs w:val="28"/>
          <w:u w:val="none"/>
          <w:shd w:fill="FFFFFF" w:val="clear"/>
          <w:lang w:eastAsia="en-US" w:bidi="ar-SA"/>
        </w:rPr>
        <w:t xml:space="preserve">на автомобильном транспорте, </w:t>
      </w:r>
      <w:r>
        <w:rPr>
          <w:rFonts w:eastAsia="Calibri" w:cs="Times New Roman" w:eastAsiaTheme="minorHAnsi"/>
          <w:color w:val="000000"/>
          <w:sz w:val="28"/>
          <w:szCs w:val="28"/>
          <w:u w:val="none"/>
          <w:shd w:fill="FFFFFF" w:val="clear"/>
          <w:lang w:eastAsia="en-US" w:bidi="ar-SA"/>
        </w:rPr>
        <w:t>плановые контрольные мероприятие не проводятся, отнесение объектов контроля к категориям риска не осуществляется, критерии риска не устанавливаются.</w:t>
      </w:r>
      <w:r>
        <w:rPr>
          <w:rFonts w:eastAsia="Times New Roman" w:cs="PT Astra Serif;Times New Roman"/>
          <w:color w:val="000000"/>
          <w:sz w:val="28"/>
          <w:szCs w:val="28"/>
          <w:u w:val="none"/>
          <w:shd w:fill="auto" w:val="clear"/>
          <w:lang w:eastAsia="en-US" w:bidi="ar-SA"/>
        </w:rPr>
        <w:t xml:space="preserve"> </w:t>
      </w:r>
    </w:p>
    <w:p>
      <w:pPr>
        <w:pStyle w:val="Normal"/>
        <w:jc w:val="both"/>
        <w:rPr/>
      </w:pPr>
      <w:r>
        <w:rPr>
          <w:rFonts w:eastAsia="Times New Roman" w:cs="PT Astra Serif;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ab/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shd w:fill="FFFFFF" w:val="clear"/>
          <w:lang w:eastAsia="en-US" w:bidi="ar-SA"/>
        </w:rPr>
        <w:t xml:space="preserve">Перечень объектов контроля  размещен на официальном сайте по ссылке: </w:t>
      </w:r>
      <w:hyperlink r:id="rId5">
        <w:r>
          <w:rPr>
            <w:rStyle w:val="-"/>
            <w:rFonts w:eastAsia="Times New Roman" w:cs="Times New Roman"/>
            <w:b w:val="false"/>
            <w:bCs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8"/>
            <w:szCs w:val="28"/>
            <w:u w:val="none"/>
            <w:shd w:fill="FFFFFF" w:val="clear"/>
            <w:lang w:eastAsia="en-US" w:bidi="ar-SA"/>
          </w:rPr>
          <w:t>https://g37.tmbreg.ru/municipalnyj-kontrol/248-fz/perechen-obektov-kontrolya/kontrol-na-avtomobilnom-transporte-gorodskom-nazemnom-elektricheskom-transporte-i-v-dorozhnom-hozyajstve/reestr-kategorirovannyh-obektov-municipalnogo-kontrolya-na-avtomobilnom-transporte-gorodskom-nazemnom-elektricheskom-transporte-i-v-dorozhnom-hozyajstve.html</w:t>
        </w:r>
      </w:hyperlink>
      <w:r>
        <w:rPr>
          <w:rStyle w:val="-"/>
          <w:rFonts w:eastAsia="Times New Roman" w:cs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shd w:fill="FFFFFF" w:val="clear"/>
          <w:lang w:eastAsia="en-US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shd w:fill="FFFFFF" w:val="clear"/>
          <w:lang w:eastAsia="en-US" w:bidi="ar-SA"/>
        </w:rPr>
        <w:t xml:space="preserve"> </w:t>
      </w:r>
      <w:r>
        <w:rPr>
          <w:rStyle w:val="-"/>
          <w:rFonts w:eastAsia="Times New Roman" w:cs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u w:val="none"/>
          <w:shd w:fill="FFFFFF" w:val="clear"/>
          <w:lang w:eastAsia="en-US" w:bidi="ar-SA"/>
        </w:rPr>
        <w:t xml:space="preserve">.    </w:t>
      </w:r>
      <w:r>
        <w:rPr>
          <w:rFonts w:eastAsia="Calibri"/>
          <w:color w:val="000000"/>
          <w:sz w:val="28"/>
          <w:szCs w:val="28"/>
        </w:rPr>
        <w:t xml:space="preserve"> </w:t>
        <w:tab/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2.1. Досудебное обжалование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  <w:t xml:space="preserve">Правом на обжалование решений органа </w:t>
      </w:r>
      <w:r>
        <w:rPr>
          <w:rFonts w:eastAsia="Calibri"/>
          <w:color w:val="000000"/>
          <w:sz w:val="28"/>
          <w:szCs w:val="28"/>
          <w:shd w:fill="FFFFFF" w:val="clear"/>
        </w:rPr>
        <w:t>муниципального контроля</w:t>
      </w:r>
      <w:r>
        <w:rPr>
          <w:rFonts w:eastAsia="Calibri"/>
          <w:color w:val="000000"/>
          <w:sz w:val="28"/>
          <w:szCs w:val="28"/>
        </w:rPr>
        <w:t xml:space="preserve">, действий (бездействия) его должностных лиц обладает контролируемое лицо, в отношении которого приняты решения или совершены действия (бездействие), указанные в части 4 статьи 40 Федерального закона № 248-ФЗ. </w:t>
      </w:r>
      <w:r>
        <w:rPr>
          <w:rFonts w:cs="Times New Roman"/>
          <w:i w:val="false"/>
          <w:iCs w:val="false"/>
          <w:color w:val="000000"/>
          <w:sz w:val="28"/>
          <w:szCs w:val="28"/>
        </w:rPr>
        <w:t xml:space="preserve"> </w:t>
        <w:tab/>
      </w:r>
      <w:r>
        <w:rPr>
          <w:rFonts w:cs="Times New Roman"/>
          <w:color w:val="000000"/>
          <w:sz w:val="28"/>
          <w:szCs w:val="28"/>
        </w:rPr>
        <w:t xml:space="preserve">Жалоба подлежит рассмотрению в срок не более 15 рабочих дней со дня ее регистрации в подсистеме досудебного обжалования. </w:t>
      </w:r>
    </w:p>
    <w:p>
      <w:pPr>
        <w:pStyle w:val="Normal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Обязанность доказывания законности и обоснованности принятого решения и (или) совершенного действия (бездействия) возлагается на орган муниципального контроля, решение и (или) действие (бездействие) должностного лица которого обжалуются. </w:t>
      </w:r>
    </w:p>
    <w:p>
      <w:pPr>
        <w:pStyle w:val="Normal"/>
        <w:jc w:val="both"/>
        <w:rPr/>
      </w:pPr>
      <w:r>
        <w:rPr>
          <w:color w:val="000000"/>
          <w:sz w:val="28"/>
          <w:szCs w:val="28"/>
        </w:rPr>
        <w:tab/>
        <w:t xml:space="preserve">Судебное обжалование решений органа муниципального контроля возможно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 (подробнее о досудебном обжаловании можно ознакомиться на официальном сайте по ссылке </w:t>
      </w:r>
      <w:hyperlink r:id="rId6">
        <w:r>
          <w:rPr>
            <w:rStyle w:val="-"/>
            <w:color w:val="000000"/>
            <w:sz w:val="28"/>
            <w:szCs w:val="28"/>
          </w:rPr>
          <w:t>https://g37.tmbreg.ru/municipalnyj-kontrol/248-fz/dosudebnoe-obzhalovanie/municipalnyj-kontrol-na-avtomobilnom-transporte-gorodskom-nazemnom-elektricheskom-transporte-i-v-dorozhnom-hozyajstve.html</w:t>
        </w:r>
      </w:hyperlink>
      <w:r>
        <w:rPr>
          <w:rStyle w:val="-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).</w:t>
      </w:r>
    </w:p>
    <w:p>
      <w:pPr>
        <w:pStyle w:val="Normal"/>
        <w:spacing w:lineRule="auto" w:line="240" w:before="0" w:after="0"/>
        <w:ind w:left="0" w:right="66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Style22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     </w:t>
      </w:r>
      <w:r>
        <w:rPr>
          <w:b/>
          <w:bCs/>
          <w:color w:val="000000"/>
          <w:sz w:val="28"/>
          <w:szCs w:val="28"/>
        </w:rPr>
        <w:t>2.2.  Кадровое обеспечение контрольно-надзорных органов</w:t>
      </w:r>
    </w:p>
    <w:p>
      <w:pPr>
        <w:pStyle w:val="Style22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 xml:space="preserve">Должностными лицами органа муниципального контроля, уполномоченными осуществлять муниципальный контроль являются: </w:t>
      </w:r>
      <w:r>
        <w:rPr>
          <w:bCs/>
          <w:color w:val="000000"/>
          <w:sz w:val="28"/>
          <w:szCs w:val="28"/>
        </w:rPr>
        <w:t xml:space="preserve">глава города Кирсанова Тамбовской области и   </w:t>
      </w:r>
      <w:r>
        <w:rPr>
          <w:color w:val="000000"/>
          <w:sz w:val="28"/>
          <w:szCs w:val="28"/>
        </w:rPr>
        <w:t xml:space="preserve">должностное лицо органа муниципального контроля, к должностным обязанностям которого должностной инструкцией отнесено осуществление полномочий по муниципальному контролю, в том числе проведение профилактических мероприятий и контрольных мероприятий. </w:t>
      </w:r>
    </w:p>
    <w:p>
      <w:pPr>
        <w:pStyle w:val="Normal"/>
        <w:jc w:val="both"/>
        <w:rPr/>
      </w:pPr>
      <w:r>
        <w:rPr>
          <w:rFonts w:eastAsia="Times New Roman" w:cs="Times New Roman"/>
          <w:b w:val="false"/>
          <w:bCs w:val="false"/>
          <w:color w:val="000000"/>
          <w:sz w:val="28"/>
          <w:szCs w:val="28"/>
          <w:u w:val="none"/>
          <w:shd w:fill="auto" w:val="clear"/>
          <w:lang w:eastAsia="en-US" w:bidi="ar-SA"/>
        </w:rPr>
        <w:tab/>
      </w:r>
      <w:r>
        <w:rPr>
          <w:rFonts w:eastAsia="Times New Roman" w:cs="Times New Roman"/>
          <w:b w:val="false"/>
          <w:bCs w:val="false"/>
          <w:color w:val="000000"/>
          <w:sz w:val="28"/>
          <w:szCs w:val="28"/>
        </w:rPr>
        <w:t xml:space="preserve">Должностными лицами  осуществляется работа  в следующих информационных системах: Федеральная государственная информационная система «Единый реестр контрольных (надзорных) мероприятий» (ФГИС ЕРКНМ), Единый реестр видов контроля (ЕРВК),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государственная информационная система "Типовое облачное решение по осуществлению  контрольно-надзорной деятельности" (ГИС ТОР КНД). А также введено  в работу новое   мобильное приложение «МП Инспектор», предназначенное для </w:t>
      </w:r>
      <w:r>
        <w:rPr>
          <w:rStyle w:val="Strong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проведения  контрольных (надзорных) и профилактических мероприятий, консультирований  в дистанционном (онлайн) режиме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(видеоконференцсвязь, ВКС). Это нововведение разработано Министерством цифрового развития, связи и массовых коммуникаций России и направлено на оптимизацию контрольно-надзорной деятельности и повышение её эффективности. </w:t>
      </w:r>
    </w:p>
    <w:p>
      <w:pPr>
        <w:pStyle w:val="Normal"/>
        <w:jc w:val="both"/>
        <w:rPr/>
      </w:pP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ab/>
        <w:t xml:space="preserve">Полномочия по осуществлению  муниципального контроля  осуществляют должностные лица отдела муниципального контроля администрации города Кирсанова -  начальник отдела муниципального контроля и ведущий специалист  отдела муниципального контроля, в  соответствии с  их должностными инструкциями и планом работы отдела. План работы отдела на 2025 год размещен на официальном сайте по ссылке: </w:t>
      </w:r>
      <w:hyperlink r:id="rId7">
        <w:r>
          <w:rPr>
            <w:rStyle w:val="-"/>
            <w:rFonts w:eastAsia="Times New Roman" w:cs="Times New Roman"/>
            <w:b w:val="false"/>
            <w:bCs w:val="false"/>
            <w:i w:val="false"/>
            <w:caps w:val="false"/>
            <w:smallCaps w:val="false"/>
            <w:color w:val="000000"/>
            <w:spacing w:val="0"/>
            <w:sz w:val="28"/>
            <w:szCs w:val="28"/>
            <w:u w:val="none"/>
            <w:shd w:fill="auto" w:val="clear"/>
            <w:lang w:eastAsia="en-US" w:bidi="ar-SA"/>
          </w:rPr>
          <w:t>https://g37.tmbreg.ru/assets/files/Podrazd/municipalnyj-kontrol/plan-raboty-na-2025-god.PDF</w:t>
        </w:r>
      </w:hyperlink>
      <w:r>
        <w:rPr>
          <w:rStyle w:val="-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 xml:space="preserve">.   </w:t>
      </w:r>
    </w:p>
    <w:p>
      <w:pPr>
        <w:pStyle w:val="Normal"/>
        <w:jc w:val="both"/>
        <w:rPr/>
      </w:pP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ab/>
        <w:t xml:space="preserve">В 2025 году в Тамбовском филиале РАНХиГС проведено обучение должностных лиц по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ru-RU" w:bidi="ar-SA"/>
        </w:rPr>
        <w:t>профессиональной программе повышения квалификации «Актуальные вопросы организации контрольно-надзорной деятельности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>».   В системе дистанционного обучения контрольно-надзорной деятельности (СДО КНД) все сотрудники органа контроля успешно прошли тестирование по теме «П</w:t>
      </w:r>
      <w:r>
        <w:rPr>
          <w:b w:val="false"/>
          <w:bCs w:val="false"/>
          <w:color w:val="000000"/>
          <w:sz w:val="28"/>
          <w:szCs w:val="28"/>
        </w:rPr>
        <w:t xml:space="preserve">роверка знания норм законодательства в сфере государственного контроля (надзора) и муниципального контроля в Российской Федерации».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 xml:space="preserve"> Права и  обязанности должностных лиц регулируются  ст.27-29 Федерального закона № 248-ФЗ  и иными федеральными законами РФ.  </w:t>
        <w:tab/>
        <w:t xml:space="preserve">Ознакомиться с информацией об отделе муниципального контроля  можно на официальном сайте по ссылке </w:t>
      </w:r>
      <w:hyperlink r:id="rId8">
        <w:r>
          <w:rPr>
            <w:rStyle w:val="-"/>
            <w:rFonts w:eastAsia="Times New Roman" w:cs="Times New Roman"/>
            <w:b w:val="false"/>
            <w:bCs w:val="false"/>
            <w:i w:val="false"/>
            <w:caps w:val="false"/>
            <w:smallCaps w:val="false"/>
            <w:color w:val="000000"/>
            <w:spacing w:val="0"/>
            <w:sz w:val="28"/>
            <w:szCs w:val="28"/>
            <w:u w:val="none"/>
            <w:shd w:fill="auto" w:val="clear"/>
            <w:lang w:eastAsia="en-US" w:bidi="ar-SA"/>
          </w:rPr>
          <w:t>https://g37.tmbreg.ru/adm/str/otdel-municipalnogo-kontrolya.html</w:t>
        </w:r>
      </w:hyperlink>
      <w:r>
        <w:rPr>
          <w:rStyle w:val="-"/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 xml:space="preserve">. </w:t>
      </w:r>
    </w:p>
    <w:p>
      <w:pPr>
        <w:pStyle w:val="Normal"/>
        <w:jc w:val="both"/>
        <w:rPr/>
      </w:pP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ab/>
        <w:t xml:space="preserve">Эксперты и представители экспертных организаций в отчетный период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к проведению мероприятий по муниципальному контролю  за 2025 год  не привлекались.</w:t>
      </w:r>
    </w:p>
    <w:p>
      <w:pPr>
        <w:pStyle w:val="Normal"/>
        <w:jc w:val="both"/>
        <w:rPr/>
      </w:pP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ab/>
        <w:t xml:space="preserve"> Для выполнения функций по осуществлению муниципального контроля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2"/>
          <w:sz w:val="28"/>
          <w:szCs w:val="28"/>
          <w:u w:val="none"/>
          <w:shd w:fill="auto" w:val="clear"/>
          <w:lang w:eastAsia="en-US" w:bidi="ar-SA"/>
        </w:rPr>
        <w:t xml:space="preserve"> </w:t>
      </w: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  <w:t>финансовых средств в бюджете на 2025 год не предусмотрено.</w:t>
      </w:r>
    </w:p>
    <w:p>
      <w:pPr>
        <w:pStyle w:val="Normal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  <w:highlight w:val="none"/>
          <w:u w:val="none"/>
          <w:shd w:fill="auto" w:val="clear"/>
          <w:lang w:eastAsia="en-US" w:bidi="ar-SA"/>
        </w:rPr>
      </w:pP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shd w:fill="auto" w:val="clear"/>
          <w:lang w:eastAsia="en-US" w:bidi="ar-SA"/>
        </w:rPr>
      </w:r>
    </w:p>
    <w:p>
      <w:pPr>
        <w:pStyle w:val="1"/>
        <w:numPr>
          <w:ilvl w:val="0"/>
          <w:numId w:val="0"/>
        </w:numPr>
        <w:tabs>
          <w:tab w:val="clear" w:pos="720"/>
          <w:tab w:val="left" w:pos="1468" w:leader="none"/>
        </w:tabs>
        <w:spacing w:lineRule="auto" w:line="240" w:before="0" w:after="0"/>
        <w:ind w:left="0" w:right="0" w:hanging="0"/>
        <w:jc w:val="left"/>
        <w:rPr>
          <w:color w:val="000000"/>
        </w:rPr>
      </w:pPr>
      <w:r>
        <w:rPr>
          <w:color w:val="000000"/>
          <w:sz w:val="28"/>
          <w:szCs w:val="28"/>
        </w:rPr>
        <w:t xml:space="preserve">               </w:t>
      </w:r>
      <w:r>
        <w:rPr>
          <w:color w:val="000000"/>
          <w:sz w:val="28"/>
          <w:szCs w:val="28"/>
        </w:rPr>
        <w:t>3. Сведения</w:t>
      </w:r>
      <w:r>
        <w:rPr>
          <w:color w:val="000000"/>
          <w:spacing w:val="-1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профилактике</w:t>
      </w:r>
      <w:r>
        <w:rPr>
          <w:color w:val="000000"/>
          <w:spacing w:val="-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рисков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причинения</w:t>
      </w:r>
      <w:r>
        <w:rPr>
          <w:color w:val="000000"/>
          <w:spacing w:val="-1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вреда</w:t>
      </w:r>
      <w:r>
        <w:rPr>
          <w:color w:val="000000"/>
          <w:spacing w:val="-1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(ущерба)</w:t>
      </w:r>
    </w:p>
    <w:p>
      <w:pPr>
        <w:pStyle w:val="Normal"/>
        <w:jc w:val="both"/>
        <w:rPr/>
      </w:pPr>
      <w:r>
        <w:rPr>
          <w:rFonts w:cs="Times New Roman"/>
          <w:color w:val="000000"/>
          <w:sz w:val="28"/>
          <w:szCs w:val="28"/>
          <w:shd w:fill="FFFFFF" w:val="clear"/>
        </w:rPr>
        <w:tab/>
        <w:t xml:space="preserve">Приоритетным направлением в работе органа муниципального контроля  в 2025 году  являлась профилактика. Профилактические мероприятия осуществляются на основании Программы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профилактики рисков причинения вреда (ущерба) охраняемым законом ценностям  в сфере муниципального контроля</w:t>
      </w:r>
      <w:r>
        <w:rPr>
          <w:rFonts w:cs="Times New Roman"/>
          <w:b w:val="false"/>
          <w:color w:val="000000"/>
          <w:spacing w:val="1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на</w:t>
      </w:r>
      <w:r>
        <w:rPr>
          <w:rFonts w:cs="Times New Roman"/>
          <w:b w:val="false"/>
          <w:color w:val="000000"/>
          <w:spacing w:val="1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автомобильном</w:t>
      </w:r>
      <w:r>
        <w:rPr>
          <w:rFonts w:cs="Times New Roman"/>
          <w:b w:val="false"/>
          <w:color w:val="000000"/>
          <w:spacing w:val="1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транспорте,</w:t>
      </w:r>
      <w:r>
        <w:rPr>
          <w:rFonts w:cs="Times New Roman"/>
          <w:b w:val="false"/>
          <w:color w:val="000000"/>
          <w:spacing w:val="1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городском</w:t>
      </w:r>
      <w:r>
        <w:rPr>
          <w:rFonts w:cs="Times New Roman"/>
          <w:b w:val="false"/>
          <w:color w:val="000000"/>
          <w:spacing w:val="1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наземном</w:t>
      </w:r>
      <w:r>
        <w:rPr>
          <w:rFonts w:cs="Times New Roman"/>
          <w:b w:val="false"/>
          <w:color w:val="000000"/>
          <w:spacing w:val="1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электрическом</w:t>
      </w:r>
      <w:r>
        <w:rPr>
          <w:rFonts w:cs="Times New Roman"/>
          <w:b w:val="false"/>
          <w:color w:val="000000"/>
          <w:spacing w:val="1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транспорте и в дорожном хозяйстве на территории городского округа–город</w:t>
      </w:r>
      <w:r>
        <w:rPr>
          <w:rFonts w:cs="Times New Roman"/>
          <w:b w:val="false"/>
          <w:color w:val="000000"/>
          <w:spacing w:val="-67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Кирсанов на 2025</w:t>
      </w:r>
      <w:r>
        <w:rPr>
          <w:rFonts w:cs="Times New Roman"/>
          <w:b w:val="false"/>
          <w:color w:val="000000"/>
          <w:spacing w:val="1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color w:val="000000"/>
          <w:spacing w:val="-3"/>
          <w:sz w:val="28"/>
          <w:szCs w:val="28"/>
          <w:shd w:fill="FFFFFF" w:val="clear"/>
        </w:rPr>
        <w:t>г</w:t>
      </w:r>
      <w:r>
        <w:rPr>
          <w:rFonts w:cs="Times New Roman"/>
          <w:b w:val="false"/>
          <w:color w:val="000000"/>
          <w:spacing w:val="-2"/>
          <w:sz w:val="28"/>
          <w:szCs w:val="28"/>
          <w:shd w:fill="FFFFFF" w:val="clear"/>
        </w:rPr>
        <w:t>од</w:t>
      </w:r>
      <w:r>
        <w:rPr>
          <w:rFonts w:cs="Times New Roman"/>
          <w:color w:val="000000"/>
          <w:sz w:val="28"/>
          <w:szCs w:val="28"/>
          <w:shd w:fill="FFFFFF" w:val="clear"/>
        </w:rPr>
        <w:t xml:space="preserve"> (далее - Программа профилактики). Программа профилактики  размещена на официальном сайте администрации города в сети «Интернет» в разделе «Муниципальный контроль/248-ФЗ/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Программа профилактики рисков причинения вреда по ссылке </w:t>
      </w:r>
      <w:hyperlink r:id="rId9">
        <w:r>
          <w:rPr>
            <w:rStyle w:val="-"/>
            <w:rFonts w:cs="Times New Roman"/>
            <w:b w:val="false"/>
            <w:i w:val="false"/>
            <w:caps w:val="false"/>
            <w:smallCaps w:val="false"/>
            <w:color w:val="000000"/>
            <w:spacing w:val="0"/>
            <w:sz w:val="28"/>
            <w:szCs w:val="28"/>
            <w:shd w:fill="FFFFFF" w:val="clear"/>
          </w:rPr>
          <w:t>https://g37.tmbreg.ru/assets/files/municipalnyj-kontrol/programma-profilaktiki-riskov/postanovlenie-ot-16.12.2024g.-N880-programma-profilaktiki-riskov-prichineniya-vreda-municipalnogo-kontrolya-na-avtomobilnom-transporte-na-2025-god.PDF</w:t>
        </w:r>
      </w:hyperlink>
      <w:r>
        <w:rPr>
          <w:rStyle w:val="-"/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 xml:space="preserve">. </w:t>
        <w:tab/>
      </w:r>
      <w:r>
        <w:rPr>
          <w:rFonts w:cs="Times New Roman"/>
          <w:color w:val="000000"/>
          <w:sz w:val="28"/>
          <w:szCs w:val="28"/>
          <w:shd w:fill="FFFFFF" w:val="clear"/>
        </w:rPr>
        <w:t xml:space="preserve">Профилактические мероприятия, предусмотренные Программой профилактики  обязательны для проведения  органом муниципального контроля.   </w:t>
      </w:r>
      <w:r>
        <w:rPr>
          <w:rFonts w:cs="Times New Roman"/>
          <w:color w:val="000000"/>
          <w:sz w:val="28"/>
          <w:szCs w:val="28"/>
        </w:rPr>
        <w:t xml:space="preserve">Орган муниципального контроля может проводить профилактические мероприятия, не предусмотренные Программой профилактики. </w:t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  <w:t>П</w:t>
      </w:r>
      <w:r>
        <w:rPr>
          <w:rFonts w:cs="Times New Roman"/>
          <w:color w:val="000000"/>
          <w:sz w:val="28"/>
          <w:szCs w:val="28"/>
          <w:shd w:fill="FFFFFF" w:val="clear"/>
        </w:rPr>
        <w:t>ри осуществлении муниципального  контроля на автомобильном транспорте  в</w:t>
      </w:r>
      <w:r>
        <w:rPr>
          <w:color w:val="000000"/>
          <w:sz w:val="28"/>
          <w:szCs w:val="28"/>
        </w:rPr>
        <w:t xml:space="preserve">  2025 году проведены   следующие мероприятия: 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- информирование - 1; 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>- объявлено предостережений — 1;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>- проведено консультирований -8, в т.ч. с «МП Инспектор» - 8;</w:t>
      </w:r>
    </w:p>
    <w:p>
      <w:pPr>
        <w:pStyle w:val="Style22"/>
        <w:ind w:left="102" w:right="0" w:hanging="0"/>
        <w:rPr>
          <w:color w:val="000000"/>
        </w:rPr>
      </w:pPr>
      <w:r>
        <w:rPr>
          <w:color w:val="000000"/>
          <w:sz w:val="28"/>
          <w:szCs w:val="28"/>
        </w:rPr>
        <w:t>- профилактические визиты  - 0</w:t>
      </w:r>
    </w:p>
    <w:p>
      <w:pPr>
        <w:pStyle w:val="Style22"/>
        <w:ind w:left="102" w:right="0" w:hanging="0"/>
        <w:rPr>
          <w:color w:val="000000"/>
        </w:rPr>
      </w:pPr>
      <w:r>
        <w:rPr>
          <w:color w:val="000000"/>
          <w:sz w:val="28"/>
          <w:szCs w:val="28"/>
        </w:rPr>
        <w:t>- обобщение правоприменительной практики -1.</w:t>
      </w:r>
    </w:p>
    <w:p>
      <w:pPr>
        <w:pStyle w:val="Normal"/>
        <w:jc w:val="both"/>
        <w:rPr/>
      </w:pPr>
      <w:r>
        <w:rPr>
          <w:color w:val="000000"/>
          <w:sz w:val="28"/>
          <w:szCs w:val="28"/>
        </w:rPr>
        <w:tab/>
      </w:r>
      <w:r>
        <w:rPr>
          <w:b w:val="false"/>
          <w:bCs w:val="false"/>
          <w:color w:val="000000"/>
          <w:sz w:val="28"/>
          <w:szCs w:val="28"/>
        </w:rPr>
        <w:t xml:space="preserve">Доклады о результатах обобщения правоприменительной практики  подготавливаются </w:t>
      </w:r>
      <w:r>
        <w:rPr>
          <w:rFonts w:cs="PT Astra Serif;Times New Roman"/>
          <w:b w:val="false"/>
          <w:bCs w:val="false"/>
          <w:color w:val="000000"/>
          <w:sz w:val="28"/>
          <w:szCs w:val="28"/>
          <w:shd w:fill="FFFFFF" w:val="clear"/>
        </w:rPr>
        <w:t xml:space="preserve">с учетом требований статьи 47 Федерального закона № 248-ФЗ </w:t>
      </w:r>
      <w:r>
        <w:rPr>
          <w:b w:val="false"/>
          <w:bCs w:val="false"/>
          <w:color w:val="000000"/>
          <w:spacing w:val="-12"/>
          <w:sz w:val="28"/>
          <w:szCs w:val="28"/>
        </w:rPr>
        <w:t xml:space="preserve"> и размещаются на официальном сайте по ссылке: </w:t>
      </w:r>
      <w:hyperlink r:id="rId10">
        <w:r>
          <w:rPr>
            <w:rStyle w:val="-"/>
            <w:b w:val="false"/>
            <w:bCs w:val="false"/>
            <w:color w:val="000000"/>
            <w:spacing w:val="-12"/>
            <w:sz w:val="28"/>
            <w:szCs w:val="28"/>
          </w:rPr>
          <w:t>https://g37.tmbreg.ru/municipalnyj-kontrol/248-fz/doklady-soderzhashhie-rezultaty-obobshheniya-pravoprimenitelnoj-praktiki/municipalnyj-kontrol-na-avtomobilnom-transporte-gorodskom-nazemnom-elektricheskom-transporte-i-v-dorozhnom-hozyajstve.html</w:t>
        </w:r>
      </w:hyperlink>
      <w:r>
        <w:rPr>
          <w:rStyle w:val="-"/>
          <w:b w:val="false"/>
          <w:bCs w:val="false"/>
          <w:color w:val="000000"/>
          <w:spacing w:val="-12"/>
          <w:sz w:val="28"/>
          <w:szCs w:val="28"/>
        </w:rPr>
        <w:t xml:space="preserve"> .</w:t>
      </w:r>
      <w:r>
        <w:rPr>
          <w:b w:val="false"/>
          <w:bCs w:val="false"/>
          <w:color w:val="000000"/>
          <w:spacing w:val="-12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ab/>
      </w:r>
    </w:p>
    <w:p>
      <w:pPr>
        <w:pStyle w:val="Style22"/>
        <w:ind w:left="102" w:right="0" w:hanging="0"/>
        <w:rPr/>
      </w:pPr>
      <w:r>
        <w:rPr/>
      </w:r>
    </w:p>
    <w:p>
      <w:pPr>
        <w:pStyle w:val="Normal"/>
        <w:jc w:val="both"/>
        <w:rPr/>
      </w:pPr>
      <w:r>
        <w:rPr>
          <w:b/>
          <w:bCs/>
          <w:color w:val="000000"/>
          <w:sz w:val="28"/>
          <w:szCs w:val="28"/>
        </w:rPr>
        <w:tab/>
        <w:tab/>
        <w:tab/>
        <w:t>4. Сведения</w:t>
      </w:r>
      <w:r>
        <w:rPr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контрольных</w:t>
      </w:r>
      <w:r>
        <w:rPr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b/>
          <w:bCs/>
          <w:color w:val="000000"/>
          <w:spacing w:val="-2"/>
          <w:sz w:val="28"/>
          <w:szCs w:val="28"/>
        </w:rPr>
        <w:t>мероприятиях</w:t>
      </w:r>
    </w:p>
    <w:p>
      <w:pPr>
        <w:pStyle w:val="Normal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</w:r>
    </w:p>
    <w:p>
      <w:pPr>
        <w:pStyle w:val="Normal"/>
        <w:jc w:val="both"/>
        <w:rPr>
          <w:color w:val="000000"/>
        </w:rPr>
      </w:pPr>
      <w:r>
        <w:rPr>
          <w:iCs/>
          <w:color w:val="000000"/>
          <w:sz w:val="28"/>
          <w:szCs w:val="28"/>
          <w:shd w:fill="FFFFFF" w:val="clear"/>
        </w:rPr>
        <w:tab/>
        <w:t xml:space="preserve">В рамках осуществления муниципального контроля на автомобильном транспорте при взаимодействии с контролируемым лицом проводятся следующие контрольные мероприятия: </w:t>
      </w:r>
      <w:r>
        <w:rPr>
          <w:color w:val="000000"/>
          <w:sz w:val="28"/>
          <w:szCs w:val="28"/>
        </w:rPr>
        <w:t xml:space="preserve">инспекционный визит, рейдовый осмотр, документарная проверка, выездная проверка.  </w:t>
      </w:r>
      <w:r>
        <w:rPr>
          <w:rFonts w:eastAsia="Calibri"/>
          <w:color w:val="000000"/>
          <w:sz w:val="28"/>
          <w:szCs w:val="28"/>
        </w:rPr>
        <w:t xml:space="preserve"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 </w:t>
      </w:r>
      <w:r>
        <w:rPr>
          <w:rFonts w:eastAsia="Calibri"/>
          <w:iCs/>
          <w:color w:val="000000"/>
          <w:sz w:val="28"/>
          <w:szCs w:val="28"/>
          <w:shd w:fill="FFFFFF" w:val="clear"/>
        </w:rPr>
        <w:t>Внеплановые контрольные мероприятия проводятся по основаниям, предусмотренным пунктами 1, 3-5, 7, 9 части 1 статьи 57 Федерального закона 248-ФЗ.</w:t>
      </w:r>
      <w:r>
        <w:rPr>
          <w:color w:val="000000"/>
          <w:sz w:val="28"/>
          <w:szCs w:val="28"/>
        </w:rPr>
        <w:t xml:space="preserve"> </w:t>
      </w:r>
      <w:r>
        <w:rPr>
          <w:rFonts w:cs="Times New Roman"/>
          <w:iCs/>
          <w:color w:val="000000"/>
          <w:sz w:val="28"/>
          <w:szCs w:val="28"/>
          <w:shd w:fill="FFFFFF" w:val="clear"/>
        </w:rPr>
        <w:t>Муниципальный контроль  в 2025 году осуществлялся без проведения плановых контрольных мероприятий.</w:t>
      </w:r>
      <w:r>
        <w:rPr>
          <w:color w:val="000000"/>
          <w:sz w:val="28"/>
          <w:szCs w:val="28"/>
          <w:shd w:fill="FFFFFF" w:val="clear"/>
        </w:rPr>
        <w:t xml:space="preserve"> </w:t>
      </w:r>
      <w:r>
        <w:rPr>
          <w:b w:val="false"/>
          <w:bCs w:val="false"/>
          <w:color w:val="000000"/>
          <w:spacing w:val="-2"/>
          <w:sz w:val="28"/>
          <w:szCs w:val="28"/>
        </w:rPr>
        <w:t xml:space="preserve"> В</w:t>
      </w:r>
      <w:r>
        <w:rPr>
          <w:b w:val="false"/>
          <w:bCs w:val="false"/>
          <w:color w:val="000000"/>
          <w:sz w:val="28"/>
          <w:szCs w:val="28"/>
        </w:rPr>
        <w:t xml:space="preserve">неплановые контрольные мероприятия также не проводились, в связи с отсутствием оснований. </w:t>
      </w:r>
    </w:p>
    <w:p>
      <w:pPr>
        <w:pStyle w:val="Normal"/>
        <w:jc w:val="both"/>
        <w:rPr>
          <w:color w:val="000000"/>
        </w:rPr>
      </w:pPr>
      <w:r>
        <w:rPr>
          <w:b w:val="false"/>
          <w:bCs w:val="false"/>
          <w:color w:val="000000"/>
          <w:sz w:val="28"/>
          <w:szCs w:val="28"/>
        </w:rPr>
        <w:tab/>
        <w:t xml:space="preserve">В соответствии с частью 3  статьи 56 248-ФЗ, </w:t>
      </w:r>
      <w:r>
        <w:rPr>
          <w:b w:val="false"/>
          <w:bCs w:val="false"/>
          <w:caps w:val="false"/>
          <w:smallCaps w:val="false"/>
          <w:color w:val="000000"/>
          <w:spacing w:val="0"/>
          <w:sz w:val="28"/>
          <w:szCs w:val="28"/>
        </w:rPr>
        <w:t xml:space="preserve">проведены </w:t>
      </w: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контрольные (надзорные) мероприятия без взаимодействия</w:t>
      </w:r>
      <w:r>
        <w:rPr>
          <w:b w:val="false"/>
          <w:bCs w:val="false"/>
          <w:color w:val="000000"/>
          <w:sz w:val="28"/>
          <w:szCs w:val="28"/>
        </w:rPr>
        <w:t xml:space="preserve"> </w:t>
      </w:r>
      <w:r>
        <w:rPr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с контролируемым лицом:  </w:t>
      </w:r>
      <w:r>
        <w:rPr>
          <w:color w:val="000000"/>
          <w:sz w:val="28"/>
          <w:szCs w:val="28"/>
        </w:rPr>
        <w:t xml:space="preserve">наблюдение за соблюдением  обязательных требований — 1 мероприятие. 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</w:r>
    </w:p>
    <w:p>
      <w:pPr>
        <w:pStyle w:val="Normal"/>
        <w:rPr>
          <w:color w:val="000000"/>
        </w:rPr>
      </w:pPr>
      <w:r>
        <w:rPr>
          <w:b/>
          <w:bCs/>
          <w:color w:val="000000"/>
          <w:sz w:val="28"/>
          <w:szCs w:val="28"/>
        </w:rPr>
        <w:tab/>
        <w:tab/>
        <w:tab/>
        <w:t>5. Сведения</w:t>
      </w:r>
      <w:r>
        <w:rPr>
          <w:b/>
          <w:bCs/>
          <w:color w:val="000000"/>
          <w:spacing w:val="-15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pacing w:val="-1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ключевых</w:t>
      </w:r>
      <w:r>
        <w:rPr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pacing w:val="-13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индикативных</w:t>
      </w:r>
      <w:r>
        <w:rPr>
          <w:b/>
          <w:bCs/>
          <w:color w:val="000000"/>
          <w:spacing w:val="-9"/>
          <w:sz w:val="28"/>
          <w:szCs w:val="28"/>
        </w:rPr>
        <w:t xml:space="preserve"> </w:t>
      </w:r>
      <w:r>
        <w:rPr>
          <w:b/>
          <w:bCs/>
          <w:color w:val="000000"/>
          <w:spacing w:val="-2"/>
          <w:sz w:val="28"/>
          <w:szCs w:val="28"/>
        </w:rPr>
        <w:t>показателях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/>
        <w:jc w:val="both"/>
        <w:rPr>
          <w:rStyle w:val="Style12"/>
          <w:rFonts w:ascii="Times New Roman" w:hAnsi="Times New Roman" w:eastAsia="Calibri" w:cs="PT Astra Serif;Times New Roman"/>
          <w:b w:val="false"/>
          <w:bCs w:val="false"/>
          <w:color w:val="000000"/>
          <w:sz w:val="28"/>
          <w:szCs w:val="28"/>
          <w:highlight w:val="white"/>
          <w:u w:val="none"/>
          <w:shd w:fill="FFFFFF" w:val="clear"/>
          <w:lang w:val="ru-RU" w:eastAsia="en-US"/>
        </w:rPr>
      </w:pPr>
      <w:r>
        <w:rPr>
          <w:rStyle w:val="Style12"/>
          <w:rFonts w:eastAsia="Calibri" w:cs="Times New Roman"/>
          <w:b w:val="false"/>
          <w:bCs w:val="false"/>
          <w:color w:val="000000"/>
          <w:sz w:val="28"/>
          <w:szCs w:val="28"/>
          <w:highlight w:val="white"/>
          <w:u w:val="none"/>
          <w:shd w:fill="FFFF00" w:val="clear"/>
          <w:lang w:val="ru-RU" w:eastAsia="en-US"/>
        </w:rPr>
        <w:tab/>
        <w:t xml:space="preserve">5.1. Ключевые  показатели и их    целевые   значения,  индикативные показатели     </w:t>
      </w:r>
      <w:r>
        <w:rPr>
          <w:rStyle w:val="Style12"/>
          <w:rFonts w:eastAsia="Times New Roman" w:cs="Times New Roman"/>
          <w:b w:val="false"/>
          <w:bCs w:val="false"/>
          <w:color w:val="000000"/>
          <w:sz w:val="28"/>
          <w:szCs w:val="28"/>
          <w:highlight w:val="white"/>
          <w:u w:val="none"/>
          <w:shd w:fill="FFFFFF" w:val="clear"/>
          <w:lang w:val="ru-RU" w:eastAsia="en-US" w:bidi="ar-SA"/>
        </w:rPr>
        <w:t xml:space="preserve"> </w:t>
      </w:r>
      <w:r>
        <w:rPr>
          <w:rStyle w:val="Style12"/>
          <w:rFonts w:eastAsia="Calibri" w:cs="Times New Roman"/>
          <w:b w:val="false"/>
          <w:bCs w:val="false"/>
          <w:color w:val="000000"/>
          <w:sz w:val="28"/>
          <w:szCs w:val="28"/>
          <w:highlight w:val="white"/>
          <w:u w:val="none"/>
          <w:shd w:fill="FFFF00" w:val="clear"/>
          <w:lang w:val="ru-RU" w:eastAsia="en-US"/>
        </w:rPr>
        <w:t>утверждены   Решением Кирсановского городского  Совета народных депутатов Тамбовской области от 24 февраля   2022 года   № 137 (с изменениями).</w:t>
      </w:r>
    </w:p>
    <w:p>
      <w:pPr>
        <w:pStyle w:val="Normal"/>
        <w:spacing w:lineRule="auto" w:line="240"/>
        <w:jc w:val="both"/>
        <w:rPr/>
      </w:pPr>
      <w:r>
        <w:rPr>
          <w:rStyle w:val="Style12"/>
          <w:rFonts w:eastAsia="Calibri" w:cs="PT Astra Serif;Times New Roman"/>
          <w:b w:val="false"/>
          <w:bCs w:val="false"/>
          <w:color w:val="000000"/>
          <w:sz w:val="28"/>
          <w:szCs w:val="28"/>
          <w:highlight w:val="white"/>
          <w:u w:val="none"/>
          <w:shd w:fill="FFFFFF" w:val="clear"/>
          <w:lang w:val="ru-RU" w:eastAsia="en-US"/>
        </w:rPr>
        <w:tab/>
        <w:t xml:space="preserve">Ключевыми показателями на территории города Кирсанова Тамбовской области </w:t>
      </w:r>
      <w:r>
        <w:rPr>
          <w:rStyle w:val="Style12"/>
          <w:rFonts w:eastAsia="Calibri" w:cs="PT Astra Serif;Times New Roman"/>
          <w:b w:val="false"/>
          <w:bCs/>
          <w:color w:val="000000"/>
          <w:sz w:val="28"/>
          <w:szCs w:val="28"/>
          <w:highlight w:val="white"/>
          <w:u w:val="none"/>
          <w:shd w:fill="FFFFFF" w:val="clear"/>
          <w:lang w:val="ru-RU" w:eastAsia="en-US"/>
        </w:rPr>
        <w:t>являются:</w:t>
      </w:r>
    </w:p>
    <w:p>
      <w:pPr>
        <w:pStyle w:val="Normal"/>
        <w:spacing w:lineRule="auto" w:line="240"/>
        <w:jc w:val="both"/>
        <w:rPr/>
      </w:pPr>
      <w:r>
        <w:rPr>
          <w:rStyle w:val="Style12"/>
          <w:rFonts w:eastAsia="Calibri" w:cs="Times New Roman"/>
          <w:b w:val="false"/>
          <w:bCs w:val="false"/>
          <w:color w:val="000000"/>
          <w:sz w:val="28"/>
          <w:szCs w:val="28"/>
          <w:highlight w:val="white"/>
          <w:u w:val="none"/>
          <w:shd w:fill="FFFF00" w:val="clear"/>
          <w:lang w:val="ru-RU" w:eastAsia="en-US"/>
        </w:rPr>
        <w:tab/>
        <w:t>- Протяженность автомобильных дорог общего пользования местного значения (или их частей), которым в результате нарушений обязательных требований к осуществлению работ по капитальному ремонту, ремонту и содержанию автомобильных дорог общего пользования, совершенных контролируемыми лицами, был причинен вред (ущерб), к общей протяженности автомобильных дорог общего пользования  местного значения;</w:t>
      </w:r>
    </w:p>
    <w:p>
      <w:pPr>
        <w:pStyle w:val="Normal"/>
        <w:spacing w:lineRule="auto" w:line="240"/>
        <w:jc w:val="both"/>
        <w:rPr/>
      </w:pPr>
      <w:r>
        <w:rPr>
          <w:rStyle w:val="Style12"/>
          <w:rFonts w:eastAsia="Calibri" w:cs="Times New Roman"/>
          <w:b w:val="false"/>
          <w:bCs w:val="false"/>
          <w:color w:val="000000"/>
          <w:sz w:val="28"/>
          <w:szCs w:val="28"/>
          <w:highlight w:val="white"/>
          <w:u w:val="none"/>
          <w:shd w:fill="FFFF00" w:val="clear"/>
          <w:lang w:val="ru-RU" w:eastAsia="en-US"/>
        </w:rPr>
        <w:tab/>
        <w:t>- Количество людей, пострадавших и (или) погибших в результате дорожно-транспортных происшествий, произошедших с транспортными средствами при осуществлении перевозки пассажиров и багажа автомобильным транспортом по муниципальным маршрутам регулярных перевозок на 10 тыс. населения муниципального образования.</w:t>
      </w:r>
    </w:p>
    <w:p>
      <w:pPr>
        <w:pStyle w:val="Normal"/>
        <w:spacing w:lineRule="auto" w:line="240"/>
        <w:jc w:val="both"/>
        <w:rPr/>
      </w:pPr>
      <w:r>
        <w:rPr>
          <w:color w:val="000000"/>
          <w:sz w:val="28"/>
          <w:szCs w:val="28"/>
        </w:rPr>
        <w:tab/>
        <w:t xml:space="preserve">Целевое значение на 2025 год-0%, фактическое значение-0 %.  </w:t>
      </w:r>
      <w:r>
        <w:rPr>
          <w:color w:val="000000"/>
          <w:spacing w:val="0"/>
          <w:w w:val="100"/>
          <w:sz w:val="28"/>
          <w:szCs w:val="28"/>
          <w:u w:val="none"/>
          <w:lang w:val="ru-RU" w:eastAsia="ru-RU" w:bidi="ru-RU"/>
        </w:rPr>
        <w:t xml:space="preserve">Ключевой показатель </w:t>
      </w:r>
      <w:r>
        <w:rPr>
          <w:b w:val="false"/>
          <w:i w:val="false"/>
          <w:caps w:val="false"/>
          <w:smallCaps w:val="false"/>
          <w:color w:val="000000"/>
          <w:spacing w:val="0"/>
          <w:w w:val="100"/>
          <w:sz w:val="28"/>
          <w:szCs w:val="28"/>
          <w:u w:val="none"/>
          <w:lang w:val="ru-RU" w:eastAsia="ru-RU" w:bidi="ru-RU"/>
        </w:rPr>
        <w:t>отражает 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соответствующий контрольный (надзорный) орган</w:t>
      </w:r>
      <w:r>
        <w:rPr>
          <w:color w:val="000000"/>
          <w:spacing w:val="0"/>
          <w:w w:val="100"/>
          <w:sz w:val="28"/>
          <w:szCs w:val="28"/>
          <w:u w:val="none"/>
          <w:lang w:val="ru-RU" w:eastAsia="ru-RU" w:bidi="ru-RU"/>
        </w:rPr>
        <w:t xml:space="preserve">.  </w:t>
      </w:r>
    </w:p>
    <w:p>
      <w:pPr>
        <w:pStyle w:val="Normal"/>
        <w:spacing w:lineRule="auto" w:line="240"/>
        <w:jc w:val="both"/>
        <w:rPr>
          <w:color w:val="000000"/>
        </w:rPr>
      </w:pPr>
      <w:r>
        <w:rPr>
          <w:rFonts w:cs="Times New Roman"/>
          <w:color w:val="000000"/>
          <w:sz w:val="28"/>
          <w:szCs w:val="28"/>
        </w:rPr>
        <w:tab/>
        <w:t xml:space="preserve">5.2. 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>Индикативные показатели для</w:t>
      </w:r>
      <w:bookmarkStart w:id="1" w:name="_Hlk73706793122"/>
      <w:bookmarkEnd w:id="1"/>
      <w:r>
        <w:rPr>
          <w:rFonts w:cs="Times New Roman"/>
          <w:b w:val="false"/>
          <w:bCs w:val="false"/>
          <w:color w:val="000000"/>
          <w:sz w:val="28"/>
          <w:szCs w:val="28"/>
        </w:rPr>
        <w:t xml:space="preserve"> муниципального </w:t>
      </w:r>
      <w:r>
        <w:rPr>
          <w:rFonts w:cs="Times New Roman"/>
          <w:b w:val="false"/>
          <w:bCs w:val="false"/>
          <w:color w:val="000000"/>
          <w:sz w:val="28"/>
          <w:szCs w:val="28"/>
          <w:shd w:fill="FFFFFF" w:val="clear"/>
        </w:rPr>
        <w:t>контроля на автомобильном транспорте, городском наземном электрическом транспорте и в дорожном хозяйстве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Fonts w:cs="Times New Roman"/>
          <w:b w:val="false"/>
          <w:bCs w:val="false"/>
          <w:color w:val="000000"/>
          <w:sz w:val="28"/>
          <w:szCs w:val="28"/>
          <w:shd w:fill="FFFFFF" w:val="clear"/>
        </w:rPr>
        <w:t>в границах городского округа – город  Кирсанов Тамбовской области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>:</w:t>
      </w:r>
    </w:p>
    <w:p>
      <w:pPr>
        <w:pStyle w:val="Normal"/>
        <w:spacing w:lineRule="auto" w:line="240"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. </w:t>
      </w:r>
      <w:r>
        <w:rPr>
          <w:sz w:val="28"/>
          <w:szCs w:val="28"/>
        </w:rPr>
        <w:t>Количество внеплановых контрольных (надзорных) мероприятий, проведенных за отчетный период.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Общее количество контрольных (надзорных) мероприятий с взаимодействием, проведенных за отчетный период.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Общее количество контрольных (надзорных) мероприятий без взаимодействия, проведенных за отчетный период.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контрольных (надзорных) мероприятий с  взаимодействием по каждому виду контрольных (надзорных) мероприятий, проведенных за отчетный период.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предостережений о недопустимости нарушения обязательных требований, объявленных за отчетный период.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контрольных (надзорных) мероприятий, по результатам которых выявлены нарушения обязательных требований, за отчетный период.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контрольных (надзорных) мероприятий, по итогам которых возбуждены дела об административных правонарушениях, за отчетный период.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административных штрафов, наложенных по результатам контрольных (надзорных) мероприятий, за отчетный период. 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направленных в органы прокуратуры заявлений о согласовании проведения контрольных (надзорных) мероприятий, за отчетный период.</w:t>
      </w:r>
    </w:p>
    <w:p>
      <w:pPr>
        <w:pStyle w:val="Default"/>
        <w:numPr>
          <w:ilvl w:val="0"/>
          <w:numId w:val="1"/>
        </w:numPr>
        <w:bidi w:val="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Количество направленных в органы прокуратуры заявлений о согласовании проведения контрольных (надзорных) мероприятий, по которым органами прокуратуры отказано в согласовании, за отчетный период.</w:t>
      </w:r>
    </w:p>
    <w:p>
      <w:pPr>
        <w:pStyle w:val="Normal"/>
        <w:numPr>
          <w:ilvl w:val="0"/>
          <w:numId w:val="1"/>
        </w:numPr>
        <w:spacing w:lineRule="auto" w:line="240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Общее количество учтенных объектов контроля на конец отчетного периода. </w:t>
      </w:r>
    </w:p>
    <w:p>
      <w:pPr>
        <w:pStyle w:val="Normal"/>
        <w:numPr>
          <w:ilvl w:val="0"/>
          <w:numId w:val="1"/>
        </w:numPr>
        <w:spacing w:lineRule="auto" w:line="240"/>
        <w:ind w:left="0"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Количество учтенных контролируемых лиц на конец отчетного периода.</w:t>
      </w:r>
    </w:p>
    <w:p>
      <w:pPr>
        <w:pStyle w:val="Normal"/>
        <w:numPr>
          <w:ilvl w:val="0"/>
          <w:numId w:val="1"/>
        </w:numPr>
        <w:spacing w:lineRule="auto" w:line="240"/>
        <w:ind w:left="0"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Количество учтенных контролируемых лиц, в отношении которых проведены контрольные (надзорные) мероприятия, за отчетный период.</w:t>
      </w:r>
    </w:p>
    <w:p>
      <w:pPr>
        <w:pStyle w:val="ListParagraph"/>
        <w:numPr>
          <w:ilvl w:val="0"/>
          <w:numId w:val="1"/>
        </w:numPr>
        <w:bidi w:val="0"/>
        <w:spacing w:lineRule="auto" w:line="240"/>
        <w:ind w:left="0" w:righ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за отчетный период.</w:t>
      </w:r>
    </w:p>
    <w:p>
      <w:pPr>
        <w:pStyle w:val="ListParagraph"/>
        <w:numPr>
          <w:ilvl w:val="0"/>
          <w:numId w:val="1"/>
        </w:numPr>
        <w:bidi w:val="0"/>
        <w:spacing w:lineRule="auto" w:line="240"/>
        <w:ind w:left="0" w:righ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контрольных (надзорных)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>
      <w:pPr>
        <w:pStyle w:val="Normal"/>
        <w:spacing w:lineRule="auto" w:line="2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. Количество контрольных (надзорных)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>
      <w:pPr>
        <w:pStyle w:val="Style22"/>
        <w:numPr>
          <w:ilvl w:val="0"/>
          <w:numId w:val="0"/>
        </w:numPr>
        <w:ind w:left="0" w:right="0" w:hanging="0"/>
        <w:rPr/>
      </w:pPr>
      <w:r>
        <w:rPr>
          <w:color w:val="000000"/>
          <w:sz w:val="28"/>
          <w:szCs w:val="28"/>
        </w:rPr>
        <w:t xml:space="preserve">       </w:t>
      </w:r>
      <w:r>
        <w:rPr>
          <w:b w:val="false"/>
          <w:i w:val="false"/>
          <w:caps w:val="false"/>
          <w:smallCaps w:val="false"/>
          <w:color w:val="000000"/>
          <w:spacing w:val="0"/>
          <w:w w:val="100"/>
          <w:sz w:val="28"/>
          <w:szCs w:val="28"/>
          <w:lang w:val="ru-RU" w:eastAsia="ru-RU" w:bidi="ru-RU"/>
        </w:rPr>
        <w:t>Индикативные показатели для муниципального контроля на автомобильном транспорте нужны </w:t>
      </w: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w w:val="100"/>
          <w:sz w:val="28"/>
          <w:szCs w:val="28"/>
          <w:lang w:val="ru-RU" w:eastAsia="ru-RU" w:bidi="ru-RU"/>
        </w:rPr>
        <w:t xml:space="preserve">для оценки результативности и эффективности деятельности органа муниципального контроля,  </w:t>
      </w: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мониторинга контрольной деятельности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, её анализа, выявления проблем, возникающих при её осуществлении, и определения причин их возникновения. Индикативные показатели характеризуют соотношение между степенью устранения риска причинения вреда (ущерба) и объёмом трудовых, материальных и финансовых ресурсов, а также уровень вмешательства в деятельность контролируемых лиц.</w:t>
      </w:r>
    </w:p>
    <w:p>
      <w:pPr>
        <w:pStyle w:val="Style22"/>
        <w:numPr>
          <w:ilvl w:val="0"/>
          <w:numId w:val="0"/>
        </w:numPr>
        <w:ind w:left="0" w:right="0" w:hanging="0"/>
        <w:rPr/>
      </w:pPr>
      <w:r>
        <w:rPr>
          <w:b w:val="false"/>
          <w:i w:val="false"/>
          <w:caps w:val="false"/>
          <w:smallCaps w:val="false"/>
          <w:color w:val="000000"/>
          <w:spacing w:val="0"/>
          <w:w w:val="100"/>
          <w:sz w:val="28"/>
          <w:szCs w:val="28"/>
          <w:lang w:val="ru-RU" w:eastAsia="ru-RU" w:bidi="ru-RU"/>
        </w:rPr>
        <w:t xml:space="preserve">        </w:t>
      </w:r>
      <w:r>
        <w:rPr>
          <w:b w:val="false"/>
          <w:i w:val="false"/>
          <w:caps w:val="false"/>
          <w:smallCaps w:val="false"/>
          <w:color w:val="000000"/>
          <w:spacing w:val="0"/>
          <w:w w:val="100"/>
          <w:sz w:val="28"/>
          <w:szCs w:val="28"/>
          <w:lang w:val="ru-RU" w:eastAsia="ru-RU" w:bidi="ru-RU"/>
        </w:rPr>
        <w:t>Показатели результативности и эффективности  для муниципального контроля  регулируются </w:t>
      </w: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w w:val="100"/>
          <w:sz w:val="28"/>
          <w:szCs w:val="28"/>
          <w:lang w:val="ru-RU" w:eastAsia="ru-RU" w:bidi="ru-RU"/>
        </w:rPr>
        <w:t>статьёй 30 Федерального закона №248-ФЗ.</w:t>
      </w:r>
      <w:r>
        <w:rPr>
          <w:color w:val="000000"/>
          <w:spacing w:val="0"/>
          <w:w w:val="100"/>
          <w:sz w:val="28"/>
          <w:szCs w:val="28"/>
          <w:lang w:val="ru-RU" w:eastAsia="ru-RU" w:bidi="ru-RU"/>
        </w:rPr>
        <w:t xml:space="preserve"> </w:t>
      </w:r>
    </w:p>
    <w:p>
      <w:pPr>
        <w:pStyle w:val="Style22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8"/>
          <w:szCs w:val="28"/>
        </w:rPr>
        <w:t>6. Выводы</w:t>
      </w:r>
      <w:r>
        <w:rPr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предложения</w:t>
      </w:r>
      <w:r>
        <w:rPr>
          <w:b/>
          <w:bCs/>
          <w:color w:val="000000"/>
          <w:spacing w:val="-1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</w:t>
      </w:r>
      <w:r>
        <w:rPr>
          <w:b/>
          <w:bCs/>
          <w:color w:val="000000"/>
          <w:spacing w:val="-8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итогам</w:t>
      </w:r>
      <w:r>
        <w:rPr>
          <w:b/>
          <w:bCs/>
          <w:color w:val="000000"/>
          <w:spacing w:val="-1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организации</w:t>
      </w:r>
    </w:p>
    <w:p>
      <w:pPr>
        <w:pStyle w:val="Normal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осуществления муниципального  контроля</w:t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both"/>
        <w:rPr/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ab/>
        <w:t>М</w:t>
      </w: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ероприятия, проводимые в рамках  контроля на автомобильном транспорте,  эффективны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, они способствуют обеспечению сохранности автомобильных дорог, безопасности дорожного движения и перевозке пассажиров.</w:t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Выводы и предложения по итогам организации муниципального контроля на автомобильном транспорте: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  </w:t>
      </w: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- Продолжить информационную работу с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юридическими и физическими лицами, чья деятельность подлежит контролю, о разъяснении им положений действующего законодательства, изменениях в нём.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</w:t>
      </w: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-  Совершенствовать нормативно-правовую базу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муниципального контроля.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</w:t>
      </w: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- Проводить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профилактику нарушений обязательных требований  при осуществлении муниципального контроля на автомобильном транспорте.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Style w:val="Strong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>Целями</w:t>
      </w:r>
      <w:r>
        <w:rPr>
          <w:color w:val="000000"/>
          <w:spacing w:val="-5"/>
          <w:sz w:val="28"/>
          <w:szCs w:val="28"/>
        </w:rPr>
        <w:t xml:space="preserve">  и задачами 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работы</w:t>
      </w:r>
      <w:r>
        <w:rPr>
          <w:color w:val="000000"/>
          <w:spacing w:val="-4"/>
          <w:sz w:val="28"/>
          <w:szCs w:val="28"/>
        </w:rPr>
        <w:t xml:space="preserve">  в рамках муниципального контроля </w:t>
      </w:r>
      <w:r>
        <w:rPr>
          <w:color w:val="000000"/>
          <w:sz w:val="28"/>
          <w:szCs w:val="28"/>
        </w:rPr>
        <w:t>являются:</w:t>
      </w:r>
    </w:p>
    <w:p>
      <w:pPr>
        <w:pStyle w:val="Normal"/>
        <w:numPr>
          <w:ilvl w:val="0"/>
          <w:numId w:val="2"/>
        </w:numPr>
        <w:ind w:left="262" w:right="0" w:hanging="3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>
      <w:pPr>
        <w:pStyle w:val="Normal"/>
        <w:numPr>
          <w:ilvl w:val="0"/>
          <w:numId w:val="2"/>
        </w:numPr>
        <w:ind w:left="262" w:right="0" w:hanging="3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устранение причин и факторов, способных привести к нарушениям обязательных требований и  причинению вреда (ущерба) охраняемым законом ценностям;</w:t>
      </w:r>
    </w:p>
    <w:p>
      <w:pPr>
        <w:pStyle w:val="Normal"/>
        <w:numPr>
          <w:ilvl w:val="0"/>
          <w:numId w:val="2"/>
        </w:numPr>
        <w:ind w:left="262" w:right="0" w:hanging="3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доведение обязательных требований до контролируемых лиц, повышение их информированности;</w:t>
      </w:r>
    </w:p>
    <w:p>
      <w:pPr>
        <w:pStyle w:val="Normal"/>
        <w:numPr>
          <w:ilvl w:val="0"/>
          <w:numId w:val="2"/>
        </w:numPr>
        <w:ind w:left="262" w:right="0" w:hanging="3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уровня правовой грамотности подконтрольных субъектов;</w:t>
      </w:r>
    </w:p>
    <w:p>
      <w:pPr>
        <w:pStyle w:val="Normal"/>
        <w:numPr>
          <w:ilvl w:val="0"/>
          <w:numId w:val="2"/>
        </w:numPr>
        <w:ind w:left="262" w:right="0" w:hanging="3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 </w:t>
      </w:r>
      <w:r>
        <w:rPr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проведение профилактической работы с населением  путем привлечения средств массовой информации к освещению актуальных вопросов муниципального контроля;</w:t>
      </w:r>
    </w:p>
    <w:p>
      <w:pPr>
        <w:pStyle w:val="Normal"/>
        <w:numPr>
          <w:ilvl w:val="0"/>
          <w:numId w:val="2"/>
        </w:numPr>
        <w:ind w:left="262" w:right="0" w:hanging="32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cs="Times New Roman"/>
          <w:color w:val="000000"/>
          <w:spacing w:val="-2"/>
          <w:sz w:val="28"/>
          <w:szCs w:val="28"/>
        </w:rPr>
        <w:t>проведение регулярного  обучения должностных лиц, практических семинаров с соответствующими службами с целью налаживания взаимодействия и передаче опыта.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Обобщение правоприменительной практики  проводится для решения следующих задач: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- обеспечения единообразных подходов к применению  законодательства Российской Федерации о муниципальном контроле;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- выявления типичных нарушений обязательных требований;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- анализа случаев причинения вреда  охраняемым законом ценностям;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-  выявление источников и факторов риска причинения вреда (ущерба);</w:t>
      </w:r>
    </w:p>
    <w:p>
      <w:pPr>
        <w:pStyle w:val="Normal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  <w:t>- обеспечения доступности информации об обязательных требованиях;</w:t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 устранение дублирующих и избыточных обязательных требований;</w:t>
      </w:r>
    </w:p>
    <w:p>
      <w:pPr>
        <w:pStyle w:val="Normal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внесении изменений и предложений в нормативные правовые акты о муниципальном контроле.</w:t>
      </w:r>
    </w:p>
    <w:sectPr>
      <w:type w:val="continuous"/>
      <w:pgSz w:w="11906" w:h="16838"/>
      <w:pgMar w:left="1417" w:right="398" w:gutter="0" w:header="0" w:top="567" w:footer="0" w:bottom="567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262" w:hanging="324"/>
      </w:pPr>
      <w:rPr/>
    </w:lvl>
    <w:lvl w:ilvl="1">
      <w:start w:val="0"/>
      <w:numFmt w:val="bullet"/>
      <w:lvlText w:val=""/>
      <w:lvlJc w:val="left"/>
      <w:pPr>
        <w:tabs>
          <w:tab w:val="num" w:pos="0"/>
        </w:tabs>
        <w:ind w:left="1246" w:hanging="32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33" w:hanging="32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219" w:hanging="32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06" w:hanging="32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93" w:hanging="32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79" w:hanging="32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66" w:hanging="32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153" w:hanging="324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524" w:right="0" w:hanging="279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2">
    <w:name w:val="Heading 2"/>
    <w:basedOn w:val="Style21"/>
    <w:next w:val="Style22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rPr>
      <w:color w:val="000080"/>
      <w:u w:val="single"/>
      <w:lang w:val="zxx" w:bidi="zxx"/>
    </w:rPr>
  </w:style>
  <w:style w:type="character" w:styleId="Style12">
    <w:name w:val="Цветовое выделение для Текст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WW8Num1z0">
    <w:name w:val="WW8Num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 w:color="000000"/>
      <w:shd w:fill="auto" w:val="clear"/>
      <w:vertAlign w:val="baseline"/>
    </w:rPr>
  </w:style>
  <w:style w:type="character" w:styleId="WW8Num3z0">
    <w:name w:val="WW8Num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 w:color="000000"/>
      <w:shd w:fill="auto" w:val="clear"/>
      <w:vertAlign w:val="baseline"/>
    </w:rPr>
  </w:style>
  <w:style w:type="character" w:styleId="11">
    <w:name w:val="Знак сноски1"/>
    <w:qFormat/>
    <w:rPr>
      <w:vertAlign w:val="superscript"/>
    </w:rPr>
  </w:style>
  <w:style w:type="character" w:styleId="Style14">
    <w:name w:val="Символ сноски"/>
    <w:qFormat/>
    <w:rPr>
      <w:vertAlign w:val="superscript"/>
    </w:rPr>
  </w:style>
  <w:style w:type="character" w:styleId="Style15">
    <w:name w:val="Footnote Reference"/>
    <w:rPr>
      <w:vertAlign w:val="superscript"/>
    </w:rPr>
  </w:style>
  <w:style w:type="character" w:styleId="Bodytext2">
    <w:name w:val="Body text (2)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Bodytext21">
    <w:name w:val="Body text (2)"/>
    <w:basedOn w:val="Bodytext2"/>
    <w:qFormat/>
    <w:rPr>
      <w:color w:val="000000"/>
      <w:spacing w:val="0"/>
      <w:w w:val="100"/>
      <w:sz w:val="24"/>
      <w:szCs w:val="24"/>
      <w:lang w:val="ru-RU" w:eastAsia="ru-RU" w:bidi="ru-RU"/>
    </w:rPr>
  </w:style>
  <w:style w:type="character" w:styleId="Style16">
    <w:name w:val="Символ концевой сноски"/>
    <w:qFormat/>
    <w:rPr>
      <w:vertAlign w:val="superscript"/>
    </w:rPr>
  </w:style>
  <w:style w:type="character" w:styleId="Style17">
    <w:name w:val="Endnote Reference"/>
    <w:rPr>
      <w:vertAlign w:val="superscript"/>
    </w:rPr>
  </w:style>
  <w:style w:type="character" w:styleId="Style18">
    <w:name w:val="FollowedHyperlink"/>
    <w:rPr>
      <w:color w:val="800000"/>
      <w:u w:val="single"/>
    </w:rPr>
  </w:style>
  <w:style w:type="character" w:styleId="Style19">
    <w:name w:val="Знак сноски"/>
    <w:qFormat/>
    <w:rPr>
      <w:vertAlign w:val="superscript"/>
    </w:rPr>
  </w:style>
  <w:style w:type="character" w:styleId="Strong">
    <w:name w:val="Strong"/>
    <w:qFormat/>
    <w:rPr>
      <w:b/>
      <w:bCs/>
    </w:rPr>
  </w:style>
  <w:style w:type="character" w:styleId="Style20">
    <w:name w:val="Символ нумерации"/>
    <w:qFormat/>
    <w:rPr/>
  </w:style>
  <w:style w:type="character" w:styleId="WW8Num2z0">
    <w:name w:val="WW8Num2z0"/>
    <w:qFormat/>
    <w:rPr>
      <w:rFonts w:cs="Times New Roman"/>
      <w:sz w:val="28"/>
      <w:szCs w:val="28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2">
    <w:name w:val="Body Text"/>
    <w:basedOn w:val="Normal"/>
    <w:uiPriority w:val="1"/>
    <w:qFormat/>
    <w:pPr>
      <w:ind w:left="102" w:right="0" w:firstLine="707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Style23">
    <w:name w:val="List"/>
    <w:basedOn w:val="Style22"/>
    <w:pPr/>
    <w:rPr>
      <w:rFonts w:cs="Ari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102" w:right="0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ru-RU" w:eastAsia="en-US" w:bidi="ar-SA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Style26"/>
    <w:pPr/>
    <w:rPr/>
  </w:style>
  <w:style w:type="paragraph" w:styleId="Style28">
    <w:name w:val="Содержимое врезки"/>
    <w:basedOn w:val="Normal"/>
    <w:qFormat/>
    <w:pPr/>
    <w:rPr/>
  </w:style>
  <w:style w:type="paragraph" w:styleId="ConsPlusNormal">
    <w:name w:val="ConsPlusNormal"/>
    <w:qFormat/>
    <w:pPr>
      <w:widowControl/>
      <w:suppressAutoHyphens w:val="true"/>
      <w:bidi w:val="0"/>
      <w:spacing w:lineRule="auto" w:line="240" w:before="0" w:after="0"/>
      <w:ind w:left="0" w:right="0" w:firstLine="720"/>
      <w:jc w:val="left"/>
      <w:textAlignment w:val="baseline"/>
    </w:pPr>
    <w:rPr>
      <w:rFonts w:ascii="Arial" w:hAnsi="Arial" w:eastAsia="Times New Roman" w:cs="Arial"/>
      <w:color w:val="00000A"/>
      <w:kern w:val="2"/>
      <w:sz w:val="20"/>
      <w:szCs w:val="20"/>
      <w:lang w:val="ru-RU" w:eastAsia="zh-CN" w:bidi="ar-SA"/>
    </w:rPr>
  </w:style>
  <w:style w:type="paragraph" w:styleId="12">
    <w:name w:val="Обычный1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4"/>
      <w:szCs w:val="24"/>
      <w:lang w:val="ru-RU" w:eastAsia="zh-CN" w:bidi="ar-SA"/>
    </w:rPr>
  </w:style>
  <w:style w:type="paragraph" w:styleId="Style29">
    <w:name w:val="Нормальный"/>
    <w:basedOn w:val="12"/>
    <w:qFormat/>
    <w:pPr/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00000A"/>
      <w:kern w:val="0"/>
      <w:sz w:val="24"/>
      <w:szCs w:val="24"/>
      <w:lang w:val="ru-RU" w:eastAsia="zh-CN" w:bidi="hi-IN"/>
    </w:rPr>
  </w:style>
  <w:style w:type="paragraph" w:styleId="Style30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Style31">
    <w:name w:val="Обычный (веб)"/>
    <w:basedOn w:val="Normal"/>
    <w:qFormat/>
    <w:pPr>
      <w:spacing w:before="280" w:after="280"/>
    </w:pPr>
    <w:rPr/>
  </w:style>
  <w:style w:type="paragraph" w:styleId="Style32">
    <w:name w:val="Содержимое таблицы"/>
    <w:basedOn w:val="Normal"/>
    <w:qFormat/>
    <w:pPr>
      <w:widowControl w:val="false"/>
      <w:suppressLineNumbers/>
    </w:pPr>
    <w:rPr/>
  </w:style>
  <w:style w:type="paragraph" w:styleId="Style33">
    <w:name w:val="Заголовок таблицы"/>
    <w:basedOn w:val="Style32"/>
    <w:qFormat/>
    <w:pPr>
      <w:suppressLineNumbers/>
      <w:jc w:val="center"/>
    </w:pPr>
    <w:rPr>
      <w:b/>
      <w:bCs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TextbodyWW">
    <w:name w:val="Text body (WW)"/>
    <w:basedOn w:val="Normal"/>
    <w:qFormat/>
    <w:pPr>
      <w:spacing w:before="0" w:after="140"/>
      <w:textAlignment w:val="baseline"/>
    </w:pPr>
    <w:rPr>
      <w:rFonts w:ascii="Liberation Serif;Times New Roman" w:hAnsi="Liberation Serif;Times New Roman" w:eastAsia="Tahoma" w:cs="Noto Sans;Times New Roman"/>
      <w:kern w:val="2"/>
      <w:sz w:val="24"/>
      <w:szCs w:val="24"/>
      <w:lang w:bidi="hi-IN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000000"/>
      <w:kern w:val="2"/>
      <w:sz w:val="24"/>
      <w:szCs w:val="24"/>
      <w:lang w:val="ru-RU" w:eastAsia="zh-CN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Mangal"/>
      <w:b/>
      <w:bCs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3">
    <w:name w:val="WW8Num3"/>
    <w:qFormat/>
  </w:style>
  <w:style w:type="numbering" w:styleId="WW8Num2">
    <w:name w:val="WW8Num2"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emf"/><Relationship Id="rId3" Type="http://schemas.openxmlformats.org/officeDocument/2006/relationships/hyperlink" Target="https://g37.tmbreg.ru/municipalnyj-kontrol/248-fz/teksty-npa-reguliruyushhie-vid-municipalnogo-kontrolya/municipalnyj-kontrol-na-avtomobilnom-transporte-gorodskom-nazemnom-elektricheskom-transporte-i-v-dorozhnom-hozyajstve.html" TargetMode="External"/><Relationship Id="rId4" Type="http://schemas.openxmlformats.org/officeDocument/2006/relationships/hyperlink" Target="https://g37.tmbreg.ru/municipalnyj-kontrol/248-fz/perechen-indikatorov-riska-narusheniya-obyazatelnyh-trebovanij-poryadok-otneseniya-obektov-k-kategoriyam-riska/municipalnyj-kontrol-na-avtomobilnom-transporte-gorodskom-nazemnom-elektricheskom-transporte-i-v-dorozhnom-hozyajstve.html" TargetMode="External"/><Relationship Id="rId5" Type="http://schemas.openxmlformats.org/officeDocument/2006/relationships/hyperlink" Target="https://g37.tmbreg.ru/municipalnyj-kontrol/248-fz/perechen-obektov-kontrolya/kontrol-na-avtomobilnom-transporte-gorodskom-nazemnom-elektricheskom-transporte-i-v-dorozhnom-hozyajstve/reestr-kategorirovannyh-obektov-municipalnogo-kontrolya-na-avtomobilnom-transporte-gorodskom-nazemnom-elektricheskom-transporte-i-v-dorozhnom-hozyajstve.html" TargetMode="External"/><Relationship Id="rId6" Type="http://schemas.openxmlformats.org/officeDocument/2006/relationships/hyperlink" Target="https://g37.tmbreg.ru/municipalnyj-kontrol/248-fz/dosudebnoe-obzhalovanie/municipalnyj-kontrol-na-avtomobilnom-transporte-gorodskom-nazemnom-elektricheskom-transporte-i-v-dorozhnom-hozyajstve.html" TargetMode="External"/><Relationship Id="rId7" Type="http://schemas.openxmlformats.org/officeDocument/2006/relationships/hyperlink" Target="https://g37.tmbreg.ru/assets/files/Podrazd/municipalnyj-kontrol/plan-raboty-na-2025-god.PDF" TargetMode="External"/><Relationship Id="rId8" Type="http://schemas.openxmlformats.org/officeDocument/2006/relationships/hyperlink" Target="https://g37.tmbreg.ru/adm/str/otdel-municipalnogo-kontrolya.html" TargetMode="External"/><Relationship Id="rId9" Type="http://schemas.openxmlformats.org/officeDocument/2006/relationships/hyperlink" Target="https://g37.tmbreg.ru/assets/files/municipalnyj-kontrol/programma-profilaktiki-riskov/postanovlenie-ot-16.12.2024g.-N880-programma-profilaktiki-riskov-prichineniya-vreda-municipalnogo-kontrolya-na-avtomobilnom-transporte-na-2025-god.PDF" TargetMode="External"/><Relationship Id="rId10" Type="http://schemas.openxmlformats.org/officeDocument/2006/relationships/hyperlink" Target="https://g37.tmbreg.ru/municipalnyj-kontrol/248-fz/doklady-soderzhashhie-rezultaty-obobshheniya-pravoprimenitelnoj-praktiki/municipalnyj-kontrol-na-avtomobilnom-transporte-gorodskom-nazemnom-elektricheskom-transporte-i-v-dorozhnom-hozyajstve.html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Application>LibreOffice/7.5.7.1$Windows_X86_64 LibreOffice_project/47eb0cf7efbacdee9b19ae25d6752381ede23126</Application>
  <AppVersion>15.0000</AppVersion>
  <Pages>8</Pages>
  <Words>2284</Words>
  <Characters>19141</Characters>
  <CharactersWithSpaces>21761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2025-02-14T06:06:18Z</dcterms:created>
  <dc:creator>User</dc:creator>
  <dc:description/>
  <dc:language>ru-RU</dc:language>
  <cp:lastModifiedBy/>
  <dcterms:modified xsi:type="dcterms:W3CDTF">2026-02-24T14:13:34Z</dcterms:modified>
  <cp:revision>127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2025-02-14T00:00:00Z</vt:filetime>
  </property>
  <property fmtid="{D5CDD505-2E9C-101B-9397-08002B2CF9AE}" pid="5" name="Producer">
    <vt:lpwstr>3-Heights(TM) PDF Security Shell 4.8.25.2 (http://www.pdf-tools.com)</vt:lpwstr>
  </property>
</Properties>
</file>